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E76" w:rsidRPr="00DD7564" w:rsidRDefault="00944E76" w:rsidP="00DD689C">
                            <w:pPr>
                              <w:rPr>
                                <w:rFonts w:ascii="Arial" w:hAnsi="Arial" w:cs="Arial"/>
                                <w:sz w:val="32"/>
                                <w:szCs w:val="32"/>
                              </w:rPr>
                            </w:pPr>
                            <w:r>
                              <w:rPr>
                                <w:rFonts w:ascii="Arial" w:hAnsi="Arial" w:cs="Arial"/>
                                <w:sz w:val="32"/>
                                <w:szCs w:val="32"/>
                              </w:rPr>
                              <w:t xml:space="preserve">Attachment </w:t>
                            </w:r>
                            <w:r w:rsidR="007404CD">
                              <w:rPr>
                                <w:rFonts w:ascii="Arial" w:hAnsi="Arial" w:cs="Arial"/>
                                <w:sz w:val="32"/>
                                <w:szCs w:val="32"/>
                              </w:rPr>
                              <w:t>14b)</w:t>
                            </w:r>
                          </w:p>
                          <w:p w:rsidR="00944E76" w:rsidRDefault="00944E76"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944E76" w:rsidRPr="00DD7564" w:rsidRDefault="00944E76" w:rsidP="00DD689C">
                      <w:pPr>
                        <w:rPr>
                          <w:rFonts w:ascii="Arial" w:hAnsi="Arial" w:cs="Arial"/>
                          <w:sz w:val="32"/>
                          <w:szCs w:val="32"/>
                        </w:rPr>
                      </w:pPr>
                      <w:r>
                        <w:rPr>
                          <w:rFonts w:ascii="Arial" w:hAnsi="Arial" w:cs="Arial"/>
                          <w:sz w:val="32"/>
                          <w:szCs w:val="32"/>
                        </w:rPr>
                        <w:t xml:space="preserve">Attachment </w:t>
                      </w:r>
                      <w:r w:rsidR="007404CD">
                        <w:rPr>
                          <w:rFonts w:ascii="Arial" w:hAnsi="Arial" w:cs="Arial"/>
                          <w:sz w:val="32"/>
                          <w:szCs w:val="32"/>
                        </w:rPr>
                        <w:t>14b)</w:t>
                      </w:r>
                    </w:p>
                    <w:p w:rsidR="00944E76" w:rsidRDefault="00944E76" w:rsidP="00DD689C">
                      <w:pPr>
                        <w:rPr>
                          <w:sz w:val="36"/>
                        </w:rPr>
                      </w:pPr>
                    </w:p>
                  </w:txbxContent>
                </v:textbox>
              </v:shape>
            </w:pict>
          </mc:Fallback>
        </mc:AlternateContent>
      </w:r>
    </w:p>
    <w:p w:rsidR="00DD689C" w:rsidRDefault="00DD689C" w:rsidP="00DC3218">
      <w:pPr>
        <w:jc w:val="right"/>
        <w:rPr>
          <w:rFonts w:ascii="Arial" w:hAnsi="Arial" w:cs="Arial"/>
          <w:b/>
          <w:sz w:val="52"/>
          <w:szCs w:val="52"/>
        </w:rPr>
      </w:pPr>
      <w:bookmarkStart w:id="0" w:name="_GoBack"/>
      <w:bookmarkEnd w:id="0"/>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r w:rsidR="00E80572">
              <w:rPr>
                <w:rFonts w:ascii="Arial" w:hAnsi="Arial" w:cs="Arial"/>
                <w:b/>
                <w:bCs/>
                <w:sz w:val="22"/>
                <w:szCs w:val="22"/>
              </w:rPr>
              <w:t xml:space="preserve"> </w:t>
            </w:r>
            <w:r w:rsidR="00461A62">
              <w:rPr>
                <w:rFonts w:ascii="Arial" w:hAnsi="Arial" w:cs="Arial"/>
                <w:b/>
                <w:bCs/>
                <w:sz w:val="22"/>
                <w:szCs w:val="22"/>
              </w:rPr>
              <w:t xml:space="preserve"> </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642A29" w:rsidP="009306C6">
            <w:pPr>
              <w:rPr>
                <w:rFonts w:ascii="Arial" w:hAnsi="Arial" w:cs="Arial"/>
                <w:bCs/>
                <w:sz w:val="22"/>
                <w:szCs w:val="22"/>
              </w:rPr>
            </w:pPr>
            <w:r>
              <w:rPr>
                <w:rFonts w:ascii="Arial" w:hAnsi="Arial" w:cs="Arial"/>
                <w:bCs/>
                <w:sz w:val="22"/>
                <w:szCs w:val="22"/>
              </w:rPr>
              <w:t>For information paper</w:t>
            </w:r>
            <w:r w:rsidR="00E80572">
              <w:rPr>
                <w:rFonts w:ascii="Arial" w:hAnsi="Arial" w:cs="Arial"/>
                <w:bCs/>
                <w:sz w:val="22"/>
                <w:szCs w:val="22"/>
              </w:rPr>
              <w:t xml:space="preserve">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642A29" w:rsidP="00BC5CEC">
            <w:pPr>
              <w:rPr>
                <w:rFonts w:ascii="Arial" w:hAnsi="Arial" w:cs="Arial"/>
                <w:bCs/>
                <w:sz w:val="22"/>
                <w:szCs w:val="22"/>
              </w:rPr>
            </w:pPr>
            <w:r>
              <w:rPr>
                <w:rFonts w:ascii="Arial" w:hAnsi="Arial" w:cs="Arial"/>
                <w:bCs/>
                <w:sz w:val="22"/>
                <w:szCs w:val="22"/>
              </w:rPr>
              <w:t>10 July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r w:rsidR="00E80572">
              <w:rPr>
                <w:rFonts w:ascii="Arial" w:hAnsi="Arial" w:cs="Arial"/>
                <w:b/>
                <w:bCs/>
                <w:sz w:val="22"/>
                <w:szCs w:val="22"/>
              </w:rPr>
              <w:t xml:space="preserve"> </w:t>
            </w:r>
            <w:r w:rsidR="00A57BC7">
              <w:rPr>
                <w:rFonts w:ascii="Arial" w:hAnsi="Arial" w:cs="Arial"/>
                <w:b/>
                <w:bCs/>
                <w:sz w:val="22"/>
                <w:szCs w:val="22"/>
              </w:rPr>
              <w:t xml:space="preserve"> </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E80572" w:rsidP="009306C6">
            <w:pPr>
              <w:rPr>
                <w:rFonts w:ascii="Arial" w:hAnsi="Arial" w:cs="Arial"/>
                <w:bCs/>
                <w:sz w:val="22"/>
                <w:szCs w:val="22"/>
              </w:rPr>
            </w:pPr>
            <w:r>
              <w:rPr>
                <w:rFonts w:ascii="Arial" w:hAnsi="Arial" w:cs="Arial"/>
                <w:bCs/>
                <w:sz w:val="22"/>
                <w:szCs w:val="22"/>
              </w:rPr>
              <w:t xml:space="preserve">Teenage Pregnancy update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944E76" w:rsidP="004026C1">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A57BC7">
              <w:rPr>
                <w:rFonts w:ascii="Arial" w:hAnsi="Arial" w:cs="Arial"/>
                <w:sz w:val="22"/>
                <w:szCs w:val="22"/>
              </w:rPr>
              <w:t xml:space="preserve">  </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4026C1" w:rsidP="004026C1">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STRATEGY</w:t>
            </w:r>
            <w:r w:rsidR="00DD7564">
              <w:rPr>
                <w:rFonts w:ascii="Arial" w:hAnsi="Arial" w:cs="Arial"/>
                <w:sz w:val="22"/>
                <w:szCs w:val="22"/>
              </w:rPr>
              <w:tab/>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00DD689C"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A57BC7">
            <w:pPr>
              <w:rPr>
                <w:rFonts w:ascii="Arial" w:hAnsi="Arial" w:cs="Arial"/>
                <w:b/>
                <w:bCs/>
                <w:sz w:val="22"/>
                <w:szCs w:val="22"/>
              </w:rPr>
            </w:pPr>
          </w:p>
          <w:p w:rsidR="00A57BC7" w:rsidRDefault="00DD689C" w:rsidP="00642A29">
            <w:pPr>
              <w:rPr>
                <w:rFonts w:ascii="Arial" w:hAnsi="Arial" w:cs="Arial"/>
                <w:b/>
                <w:bCs/>
                <w:sz w:val="22"/>
                <w:szCs w:val="22"/>
              </w:rPr>
            </w:pPr>
            <w:r w:rsidRPr="00752FD6">
              <w:rPr>
                <w:rFonts w:ascii="Arial" w:hAnsi="Arial" w:cs="Arial"/>
                <w:b/>
                <w:bCs/>
                <w:sz w:val="22"/>
                <w:szCs w:val="22"/>
              </w:rPr>
              <w:t>OBJECT OF REPORT</w:t>
            </w:r>
          </w:p>
          <w:p w:rsidR="00642A29" w:rsidRPr="00752FD6" w:rsidRDefault="00642A29" w:rsidP="00642A29">
            <w:pPr>
              <w:rPr>
                <w:rFonts w:ascii="Arial" w:hAnsi="Arial" w:cs="Arial"/>
                <w:b/>
                <w:bCs/>
                <w:sz w:val="22"/>
                <w:szCs w:val="22"/>
              </w:rPr>
            </w:pPr>
          </w:p>
        </w:tc>
        <w:tc>
          <w:tcPr>
            <w:tcW w:w="7021" w:type="dxa"/>
            <w:shd w:val="clear" w:color="auto" w:fill="auto"/>
          </w:tcPr>
          <w:p w:rsidR="00DD689C" w:rsidRPr="00752FD6" w:rsidRDefault="00DD689C" w:rsidP="00A57BC7">
            <w:pPr>
              <w:rPr>
                <w:rFonts w:ascii="Arial" w:hAnsi="Arial" w:cs="Arial"/>
                <w:b/>
                <w:bCs/>
                <w:sz w:val="22"/>
                <w:szCs w:val="22"/>
              </w:rPr>
            </w:pPr>
          </w:p>
          <w:p w:rsidR="00DD689C" w:rsidRPr="00752FD6" w:rsidRDefault="00DD689C" w:rsidP="00A57BC7">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7564" w:rsidRPr="00752FD6" w:rsidRDefault="00642A29" w:rsidP="00642A29">
            <w:pPr>
              <w:jc w:val="both"/>
              <w:rPr>
                <w:rFonts w:ascii="Arial" w:hAnsi="Arial" w:cs="Arial"/>
                <w:bCs/>
                <w:sz w:val="22"/>
                <w:szCs w:val="22"/>
              </w:rPr>
            </w:pPr>
            <w:r>
              <w:rPr>
                <w:rFonts w:ascii="Arial" w:hAnsi="Arial" w:cs="Arial"/>
                <w:sz w:val="22"/>
                <w:szCs w:val="22"/>
              </w:rPr>
              <w:t xml:space="preserve">Update on an action from previous meeting </w:t>
            </w:r>
            <w:r w:rsidRPr="00E80572">
              <w:rPr>
                <w:rFonts w:ascii="Arial" w:hAnsi="Arial" w:cs="Arial"/>
                <w:sz w:val="22"/>
                <w:szCs w:val="22"/>
              </w:rPr>
              <w:t>A query was raised over the reasons behind the drop in the teenage pregnancy rate as this has been a challenge for at least the last decade.  Whilst there is a belief it is due in part to the concerted efforts that have been put in place for a number of years it was agreed further information should be provided as to how the improvement has been achieved.  Isobel Duckworth was asked to investigate further and report the findings back to a future Board</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301655"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585083"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642A29" w:rsidRPr="00E80572" w:rsidRDefault="00A57BC7" w:rsidP="00642A29">
            <w:pPr>
              <w:rPr>
                <w:rFonts w:ascii="Arial" w:hAnsi="Arial" w:cs="Arial"/>
                <w:bCs/>
                <w:sz w:val="22"/>
                <w:szCs w:val="22"/>
              </w:rPr>
            </w:pPr>
            <w:r>
              <w:rPr>
                <w:rFonts w:ascii="Arial" w:hAnsi="Arial" w:cs="Arial"/>
                <w:b/>
                <w:bCs/>
                <w:sz w:val="22"/>
                <w:szCs w:val="22"/>
              </w:rPr>
              <w:t xml:space="preserve"> </w:t>
            </w:r>
          </w:p>
          <w:p w:rsidR="00E80572" w:rsidRPr="00E80572" w:rsidRDefault="00E80572" w:rsidP="009306C6">
            <w:pPr>
              <w:rPr>
                <w:rFonts w:ascii="Arial" w:hAnsi="Arial" w:cs="Arial"/>
                <w:bCs/>
                <w:sz w:val="22"/>
                <w:szCs w:val="22"/>
              </w:rPr>
            </w:pP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642A29" w:rsidRPr="00A0294E" w:rsidRDefault="00642A29" w:rsidP="00642A29">
            <w:pPr>
              <w:rPr>
                <w:rFonts w:ascii="Arial" w:hAnsi="Arial" w:cs="Arial"/>
                <w:bCs/>
                <w:sz w:val="22"/>
                <w:szCs w:val="22"/>
              </w:rPr>
            </w:pPr>
            <w:r w:rsidRPr="00044AD2">
              <w:rPr>
                <w:rFonts w:ascii="Arial" w:hAnsi="Arial" w:cs="Arial"/>
                <w:bCs/>
                <w:sz w:val="22"/>
                <w:szCs w:val="22"/>
              </w:rPr>
              <w:t>T</w:t>
            </w:r>
            <w:r w:rsidRPr="00A0294E">
              <w:rPr>
                <w:rFonts w:ascii="Arial" w:hAnsi="Arial" w:cs="Arial"/>
                <w:bCs/>
                <w:sz w:val="22"/>
                <w:szCs w:val="22"/>
              </w:rPr>
              <w:t xml:space="preserve">o note the information </w:t>
            </w:r>
          </w:p>
          <w:p w:rsidR="00DD689C" w:rsidRPr="00752FD6" w:rsidRDefault="00642A29" w:rsidP="00642A29">
            <w:pPr>
              <w:rPr>
                <w:rFonts w:ascii="Arial" w:hAnsi="Arial" w:cs="Arial"/>
                <w:bCs/>
                <w:sz w:val="22"/>
                <w:szCs w:val="22"/>
              </w:rPr>
            </w:pPr>
            <w:r w:rsidRPr="00E80572">
              <w:rPr>
                <w:rFonts w:ascii="Arial" w:hAnsi="Arial" w:cs="Arial"/>
                <w:bCs/>
                <w:sz w:val="22"/>
                <w:szCs w:val="22"/>
              </w:rPr>
              <w:t>To review progress in a year</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585083" w:rsidP="00752FD6">
            <w:pPr>
              <w:spacing w:before="80" w:after="80"/>
              <w:jc w:val="center"/>
              <w:rPr>
                <w:rFonts w:ascii="Arial" w:hAnsi="Arial" w:cs="Arial"/>
                <w:b/>
                <w:sz w:val="22"/>
                <w:szCs w:val="22"/>
              </w:rPr>
            </w:pPr>
            <w:r>
              <w:rPr>
                <w:rFonts w:ascii="Arial" w:hAnsi="Arial" w:cs="Arial"/>
                <w:b/>
                <w:sz w:val="22"/>
                <w:szCs w:val="22"/>
              </w:rPr>
              <w:lastRenderedPageBreak/>
              <w:br w:type="page"/>
            </w: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944E76" w:rsidP="00752FD6">
            <w:pPr>
              <w:spacing w:before="80" w:after="80"/>
              <w:rPr>
                <w:rFonts w:ascii="Arial" w:hAnsi="Arial" w:cs="Arial"/>
                <w:sz w:val="22"/>
                <w:szCs w:val="22"/>
              </w:rPr>
            </w:pPr>
            <w:hyperlink r:id="rId9"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A57BC7" w:rsidRDefault="00A57BC7">
      <w:pPr>
        <w:rPr>
          <w:rFonts w:ascii="Arial" w:hAnsi="Arial" w:cs="Arial"/>
          <w:b/>
          <w:bCs/>
          <w:sz w:val="22"/>
          <w:szCs w:val="22"/>
        </w:rPr>
      </w:pPr>
    </w:p>
    <w:p w:rsidR="00A57BC7" w:rsidRDefault="00A57BC7">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642A29" w:rsidRDefault="00642A29">
      <w:pPr>
        <w:rPr>
          <w:rFonts w:ascii="Arial" w:hAnsi="Arial" w:cs="Arial"/>
          <w:b/>
          <w:bCs/>
          <w:sz w:val="22"/>
          <w:szCs w:val="22"/>
        </w:rPr>
      </w:pPr>
    </w:p>
    <w:p w:rsidR="00A57BC7" w:rsidRPr="00642A29" w:rsidRDefault="00A57BC7" w:rsidP="00A57BC7">
      <w:pPr>
        <w:jc w:val="both"/>
        <w:rPr>
          <w:rFonts w:ascii="Arial" w:eastAsia="Calibri" w:hAnsi="Arial" w:cs="Arial"/>
          <w:b/>
          <w:sz w:val="22"/>
          <w:szCs w:val="22"/>
          <w:lang w:eastAsia="en-US"/>
        </w:rPr>
      </w:pPr>
      <w:r w:rsidRPr="00B41381">
        <w:rPr>
          <w:rFonts w:ascii="Arial" w:eastAsia="Calibri" w:hAnsi="Arial" w:cs="Arial"/>
          <w:b/>
          <w:sz w:val="22"/>
          <w:szCs w:val="22"/>
          <w:lang w:eastAsia="en-US"/>
        </w:rPr>
        <w:t xml:space="preserve">Background </w:t>
      </w:r>
    </w:p>
    <w:p w:rsidR="00A57BC7" w:rsidRDefault="00B41381" w:rsidP="00A57BC7">
      <w:pPr>
        <w:jc w:val="both"/>
        <w:rPr>
          <w:rFonts w:ascii="Arial" w:eastAsia="Calibri" w:hAnsi="Arial" w:cs="Arial"/>
          <w:sz w:val="22"/>
          <w:szCs w:val="22"/>
          <w:lang w:eastAsia="en-US"/>
        </w:rPr>
      </w:pPr>
      <w:r>
        <w:rPr>
          <w:rFonts w:ascii="Arial" w:eastAsia="Calibri" w:hAnsi="Arial" w:cs="Arial"/>
          <w:sz w:val="22"/>
          <w:szCs w:val="22"/>
          <w:lang w:eastAsia="en-US"/>
        </w:rPr>
        <w:t>In the last part</w:t>
      </w:r>
      <w:r w:rsidR="00642A29">
        <w:rPr>
          <w:rFonts w:ascii="Arial" w:eastAsia="Calibri" w:hAnsi="Arial" w:cs="Arial"/>
          <w:sz w:val="22"/>
          <w:szCs w:val="22"/>
          <w:lang w:eastAsia="en-US"/>
        </w:rPr>
        <w:t xml:space="preserve">nership meeting there had been </w:t>
      </w:r>
      <w:r>
        <w:rPr>
          <w:rFonts w:ascii="Arial" w:eastAsia="Calibri" w:hAnsi="Arial" w:cs="Arial"/>
          <w:sz w:val="22"/>
          <w:szCs w:val="22"/>
          <w:lang w:eastAsia="en-US"/>
        </w:rPr>
        <w:t xml:space="preserve">a discussion </w:t>
      </w:r>
      <w:r w:rsidR="00A57BC7" w:rsidRPr="00A57BC7">
        <w:rPr>
          <w:rFonts w:ascii="Arial" w:eastAsia="Calibri" w:hAnsi="Arial" w:cs="Arial"/>
          <w:sz w:val="22"/>
          <w:szCs w:val="22"/>
          <w:lang w:eastAsia="en-US"/>
        </w:rPr>
        <w:t xml:space="preserve">over the reasons behind the drop in the teenage pregnancy rate as this has been a challenge for at least the last decade.  Whilst there is a belief it is due in part to the concerted efforts that have been put in place for a number of years it was agreed further information should be provided as to how the improvement has been achieved.  </w:t>
      </w:r>
      <w:r>
        <w:rPr>
          <w:rFonts w:ascii="Arial" w:eastAsia="Calibri" w:hAnsi="Arial" w:cs="Arial"/>
          <w:sz w:val="22"/>
          <w:szCs w:val="22"/>
          <w:lang w:eastAsia="en-US"/>
        </w:rPr>
        <w:t>This update provides</w:t>
      </w:r>
      <w:r w:rsidR="00515042">
        <w:rPr>
          <w:rFonts w:ascii="Arial" w:eastAsia="Calibri" w:hAnsi="Arial" w:cs="Arial"/>
          <w:sz w:val="22"/>
          <w:szCs w:val="22"/>
          <w:lang w:eastAsia="en-US"/>
        </w:rPr>
        <w:t xml:space="preserve"> some information. </w:t>
      </w:r>
    </w:p>
    <w:p w:rsidR="00A0294E" w:rsidRDefault="00A0294E" w:rsidP="00A57BC7">
      <w:pPr>
        <w:jc w:val="both"/>
        <w:rPr>
          <w:rFonts w:ascii="Arial" w:eastAsia="Calibri" w:hAnsi="Arial" w:cs="Arial"/>
          <w:sz w:val="22"/>
          <w:szCs w:val="22"/>
          <w:lang w:eastAsia="en-US"/>
        </w:rPr>
      </w:pPr>
    </w:p>
    <w:p w:rsidR="00B41381" w:rsidRDefault="00B41381" w:rsidP="00A57BC7">
      <w:pPr>
        <w:jc w:val="both"/>
        <w:rPr>
          <w:rFonts w:ascii="Arial" w:eastAsia="Calibri" w:hAnsi="Arial" w:cs="Arial"/>
          <w:sz w:val="22"/>
          <w:szCs w:val="22"/>
          <w:lang w:eastAsia="en-US"/>
        </w:rPr>
      </w:pPr>
      <w:r>
        <w:rPr>
          <w:rFonts w:ascii="Arial" w:eastAsia="Calibri" w:hAnsi="Arial" w:cs="Arial"/>
          <w:sz w:val="22"/>
          <w:szCs w:val="22"/>
          <w:lang w:eastAsia="en-US"/>
        </w:rPr>
        <w:t>Conceptions statistics include pregnancies that result in:</w:t>
      </w:r>
    </w:p>
    <w:p w:rsidR="00642A29" w:rsidRDefault="00642A29" w:rsidP="00A57BC7">
      <w:pPr>
        <w:jc w:val="both"/>
        <w:rPr>
          <w:rFonts w:ascii="Arial" w:eastAsia="Calibri" w:hAnsi="Arial" w:cs="Arial"/>
          <w:sz w:val="22"/>
          <w:szCs w:val="22"/>
          <w:lang w:eastAsia="en-US"/>
        </w:rPr>
      </w:pPr>
    </w:p>
    <w:p w:rsidR="00B41381" w:rsidRPr="00E766CF" w:rsidRDefault="00B41381" w:rsidP="00E766CF">
      <w:pPr>
        <w:pStyle w:val="ListParagraph"/>
        <w:numPr>
          <w:ilvl w:val="0"/>
          <w:numId w:val="24"/>
        </w:numPr>
        <w:jc w:val="both"/>
        <w:rPr>
          <w:rFonts w:ascii="Arial" w:eastAsia="Calibri" w:hAnsi="Arial" w:cs="Arial"/>
          <w:sz w:val="22"/>
          <w:szCs w:val="22"/>
          <w:lang w:eastAsia="en-US"/>
        </w:rPr>
      </w:pPr>
      <w:r w:rsidRPr="00E766CF">
        <w:rPr>
          <w:rFonts w:ascii="Arial" w:eastAsia="Calibri" w:hAnsi="Arial" w:cs="Arial"/>
          <w:sz w:val="22"/>
          <w:szCs w:val="22"/>
          <w:lang w:eastAsia="en-US"/>
        </w:rPr>
        <w:t xml:space="preserve">One or more live or still births (a maternity) </w:t>
      </w:r>
    </w:p>
    <w:p w:rsidR="00B41381" w:rsidRPr="00E766CF" w:rsidRDefault="00B41381" w:rsidP="00E766CF">
      <w:pPr>
        <w:pStyle w:val="ListParagraph"/>
        <w:numPr>
          <w:ilvl w:val="0"/>
          <w:numId w:val="24"/>
        </w:numPr>
        <w:jc w:val="both"/>
        <w:rPr>
          <w:rFonts w:ascii="Arial" w:eastAsia="Calibri" w:hAnsi="Arial" w:cs="Arial"/>
          <w:sz w:val="22"/>
          <w:szCs w:val="22"/>
          <w:lang w:eastAsia="en-US"/>
        </w:rPr>
      </w:pPr>
      <w:r w:rsidRPr="00E766CF">
        <w:rPr>
          <w:rFonts w:ascii="Arial" w:eastAsia="Calibri" w:hAnsi="Arial" w:cs="Arial"/>
          <w:sz w:val="22"/>
          <w:szCs w:val="22"/>
          <w:lang w:eastAsia="en-US"/>
        </w:rPr>
        <w:t xml:space="preserve">A legal abortion under the Abortion Act 1967 (an abortion) </w:t>
      </w:r>
    </w:p>
    <w:p w:rsidR="00642A29" w:rsidRDefault="00642A29" w:rsidP="00A57BC7">
      <w:pPr>
        <w:jc w:val="both"/>
        <w:rPr>
          <w:rFonts w:ascii="Arial" w:eastAsia="Calibri" w:hAnsi="Arial" w:cs="Arial"/>
          <w:sz w:val="22"/>
          <w:szCs w:val="22"/>
          <w:lang w:eastAsia="en-US"/>
        </w:rPr>
      </w:pPr>
    </w:p>
    <w:p w:rsidR="00B41381" w:rsidRDefault="00B41381" w:rsidP="00A57BC7">
      <w:pPr>
        <w:jc w:val="both"/>
        <w:rPr>
          <w:rFonts w:ascii="Arial" w:eastAsia="Calibri" w:hAnsi="Arial" w:cs="Arial"/>
          <w:sz w:val="22"/>
          <w:szCs w:val="22"/>
          <w:lang w:eastAsia="en-US"/>
        </w:rPr>
      </w:pPr>
      <w:r>
        <w:rPr>
          <w:rFonts w:ascii="Arial" w:eastAsia="Calibri" w:hAnsi="Arial" w:cs="Arial"/>
          <w:sz w:val="22"/>
          <w:szCs w:val="22"/>
          <w:lang w:eastAsia="en-US"/>
        </w:rPr>
        <w:t xml:space="preserve">They do not include miscarriages or illegal abortion. </w:t>
      </w:r>
    </w:p>
    <w:p w:rsidR="00E766CF" w:rsidRPr="00A57BC7" w:rsidRDefault="00E766CF" w:rsidP="00A57BC7">
      <w:pPr>
        <w:jc w:val="both"/>
        <w:rPr>
          <w:rFonts w:ascii="Arial" w:eastAsia="Calibri" w:hAnsi="Arial" w:cs="Arial"/>
          <w:sz w:val="22"/>
          <w:szCs w:val="22"/>
          <w:lang w:eastAsia="en-US"/>
        </w:rPr>
      </w:pPr>
    </w:p>
    <w:p w:rsidR="00834051" w:rsidRPr="00642A29" w:rsidRDefault="00F64FD6" w:rsidP="00642A29">
      <w:pPr>
        <w:jc w:val="both"/>
        <w:rPr>
          <w:rFonts w:ascii="Arial" w:eastAsia="Calibri" w:hAnsi="Arial" w:cs="Arial"/>
          <w:sz w:val="22"/>
          <w:szCs w:val="22"/>
          <w:lang w:eastAsia="en-US"/>
        </w:rPr>
      </w:pPr>
      <w:r w:rsidRPr="00642A29">
        <w:rPr>
          <w:rFonts w:ascii="Arial" w:eastAsia="Calibri" w:hAnsi="Arial" w:cs="Arial"/>
          <w:sz w:val="22"/>
          <w:szCs w:val="22"/>
          <w:lang w:eastAsia="en-US"/>
        </w:rPr>
        <w:t>Data is based on birth registration s</w:t>
      </w:r>
      <w:r w:rsidR="00642A29">
        <w:rPr>
          <w:rFonts w:ascii="Arial" w:eastAsia="Calibri" w:hAnsi="Arial" w:cs="Arial"/>
          <w:sz w:val="22"/>
          <w:szCs w:val="22"/>
          <w:lang w:eastAsia="en-US"/>
        </w:rPr>
        <w:t xml:space="preserve">o the statistics are published at least 14 months </w:t>
      </w:r>
      <w:r w:rsidRPr="00642A29">
        <w:rPr>
          <w:rFonts w:ascii="Arial" w:eastAsia="Calibri" w:hAnsi="Arial" w:cs="Arial"/>
          <w:sz w:val="22"/>
          <w:szCs w:val="22"/>
          <w:lang w:eastAsia="en-US"/>
        </w:rPr>
        <w:t xml:space="preserve">after the end of the period to which they relate. </w:t>
      </w:r>
      <w:r w:rsidR="00834051" w:rsidRPr="00642A29">
        <w:rPr>
          <w:rFonts w:ascii="Arial" w:eastAsia="Calibri" w:hAnsi="Arial" w:cs="Arial"/>
          <w:sz w:val="22"/>
          <w:szCs w:val="22"/>
          <w:lang w:eastAsia="en-US"/>
        </w:rPr>
        <w:t>Abortion data does</w:t>
      </w:r>
      <w:r w:rsidR="00642A29">
        <w:rPr>
          <w:rFonts w:ascii="Arial" w:eastAsia="Calibri" w:hAnsi="Arial" w:cs="Arial"/>
          <w:sz w:val="22"/>
          <w:szCs w:val="22"/>
          <w:lang w:eastAsia="en-US"/>
        </w:rPr>
        <w:t xml:space="preserve"> not follow the same timescale and </w:t>
      </w:r>
      <w:r w:rsidR="00834051" w:rsidRPr="00642A29">
        <w:rPr>
          <w:rFonts w:ascii="Arial" w:eastAsia="Calibri" w:hAnsi="Arial" w:cs="Arial"/>
          <w:sz w:val="22"/>
          <w:szCs w:val="22"/>
          <w:lang w:eastAsia="en-US"/>
        </w:rPr>
        <w:t xml:space="preserve">is </w:t>
      </w:r>
      <w:r w:rsidR="003949A6" w:rsidRPr="00642A29">
        <w:rPr>
          <w:rFonts w:ascii="Arial" w:eastAsia="Calibri" w:hAnsi="Arial" w:cs="Arial"/>
          <w:sz w:val="22"/>
          <w:szCs w:val="22"/>
          <w:lang w:eastAsia="en-US"/>
        </w:rPr>
        <w:t>timelier</w:t>
      </w:r>
      <w:r w:rsidR="00834051" w:rsidRPr="00642A29">
        <w:rPr>
          <w:rFonts w:ascii="Arial" w:eastAsia="Calibri" w:hAnsi="Arial" w:cs="Arial"/>
          <w:sz w:val="22"/>
          <w:szCs w:val="22"/>
          <w:lang w:eastAsia="en-US"/>
        </w:rPr>
        <w:t xml:space="preserve">. The </w:t>
      </w:r>
      <w:r w:rsidR="00515042" w:rsidRPr="00642A29">
        <w:rPr>
          <w:rFonts w:ascii="Arial" w:eastAsia="Calibri" w:hAnsi="Arial" w:cs="Arial"/>
          <w:sz w:val="22"/>
          <w:szCs w:val="22"/>
          <w:lang w:eastAsia="en-US"/>
        </w:rPr>
        <w:t xml:space="preserve">recent </w:t>
      </w:r>
      <w:r w:rsidR="00642A29" w:rsidRPr="00642A29">
        <w:rPr>
          <w:rFonts w:ascii="Arial" w:eastAsia="Calibri" w:hAnsi="Arial" w:cs="Arial"/>
          <w:sz w:val="22"/>
          <w:szCs w:val="22"/>
          <w:lang w:eastAsia="en-US"/>
        </w:rPr>
        <w:t xml:space="preserve">published </w:t>
      </w:r>
      <w:r w:rsidR="003949A6">
        <w:rPr>
          <w:rFonts w:ascii="Arial" w:eastAsia="Calibri" w:hAnsi="Arial" w:cs="Arial"/>
          <w:sz w:val="22"/>
          <w:szCs w:val="22"/>
          <w:lang w:eastAsia="en-US"/>
        </w:rPr>
        <w:t xml:space="preserve">data on </w:t>
      </w:r>
      <w:proofErr w:type="gramStart"/>
      <w:r w:rsidR="003949A6">
        <w:rPr>
          <w:rFonts w:ascii="Arial" w:eastAsia="Calibri" w:hAnsi="Arial" w:cs="Arial"/>
          <w:sz w:val="22"/>
          <w:szCs w:val="22"/>
          <w:lang w:eastAsia="en-US"/>
        </w:rPr>
        <w:t>under</w:t>
      </w:r>
      <w:proofErr w:type="gramEnd"/>
      <w:r w:rsidR="003949A6">
        <w:rPr>
          <w:rFonts w:ascii="Arial" w:eastAsia="Calibri" w:hAnsi="Arial" w:cs="Arial"/>
          <w:sz w:val="22"/>
          <w:szCs w:val="22"/>
          <w:lang w:eastAsia="en-US"/>
        </w:rPr>
        <w:t xml:space="preserve"> </w:t>
      </w:r>
      <w:r w:rsidR="00834051" w:rsidRPr="00642A29">
        <w:rPr>
          <w:rFonts w:ascii="Arial" w:eastAsia="Calibri" w:hAnsi="Arial" w:cs="Arial"/>
          <w:sz w:val="22"/>
          <w:szCs w:val="22"/>
          <w:lang w:eastAsia="en-US"/>
        </w:rPr>
        <w:t>18 year conceptions covers March 2011- March 2013.</w:t>
      </w:r>
      <w:r w:rsidR="00515042" w:rsidRPr="00642A29">
        <w:rPr>
          <w:rFonts w:ascii="Arial" w:eastAsia="Calibri" w:hAnsi="Arial" w:cs="Arial"/>
          <w:sz w:val="22"/>
          <w:szCs w:val="22"/>
          <w:lang w:eastAsia="en-US"/>
        </w:rPr>
        <w:t xml:space="preserve"> The </w:t>
      </w:r>
      <w:r w:rsidR="00A0294E" w:rsidRPr="00642A29">
        <w:rPr>
          <w:rFonts w:ascii="Arial" w:eastAsia="Calibri" w:hAnsi="Arial" w:cs="Arial"/>
          <w:sz w:val="22"/>
          <w:szCs w:val="22"/>
          <w:lang w:eastAsia="en-US"/>
        </w:rPr>
        <w:t xml:space="preserve">last </w:t>
      </w:r>
      <w:r w:rsidR="00515042" w:rsidRPr="00642A29">
        <w:rPr>
          <w:rFonts w:ascii="Arial" w:eastAsia="Calibri" w:hAnsi="Arial" w:cs="Arial"/>
          <w:sz w:val="22"/>
          <w:szCs w:val="22"/>
          <w:lang w:eastAsia="en-US"/>
        </w:rPr>
        <w:t xml:space="preserve">abortion data </w:t>
      </w:r>
      <w:r w:rsidR="00A0294E" w:rsidRPr="00642A29">
        <w:rPr>
          <w:rFonts w:ascii="Arial" w:eastAsia="Calibri" w:hAnsi="Arial" w:cs="Arial"/>
          <w:sz w:val="22"/>
          <w:szCs w:val="22"/>
          <w:lang w:eastAsia="en-US"/>
        </w:rPr>
        <w:t xml:space="preserve">was </w:t>
      </w:r>
      <w:r w:rsidR="00044AD2" w:rsidRPr="00642A29">
        <w:rPr>
          <w:rFonts w:ascii="Arial" w:eastAsia="Calibri" w:hAnsi="Arial" w:cs="Arial"/>
          <w:sz w:val="22"/>
          <w:szCs w:val="22"/>
          <w:lang w:eastAsia="en-US"/>
        </w:rPr>
        <w:t xml:space="preserve">released </w:t>
      </w:r>
      <w:r w:rsidR="00A0294E" w:rsidRPr="00642A29">
        <w:rPr>
          <w:rFonts w:ascii="Arial" w:eastAsia="Calibri" w:hAnsi="Arial" w:cs="Arial"/>
          <w:sz w:val="22"/>
          <w:szCs w:val="22"/>
          <w:lang w:eastAsia="en-US"/>
        </w:rPr>
        <w:t>in June 2014</w:t>
      </w:r>
      <w:r w:rsidR="00044AD2" w:rsidRPr="00642A29">
        <w:rPr>
          <w:rFonts w:ascii="Arial" w:eastAsia="Calibri" w:hAnsi="Arial" w:cs="Arial"/>
          <w:sz w:val="22"/>
          <w:szCs w:val="22"/>
          <w:lang w:eastAsia="en-US"/>
        </w:rPr>
        <w:t xml:space="preserve"> for abortions carried out during 2013.</w:t>
      </w:r>
      <w:r w:rsidR="00A0294E" w:rsidRPr="00642A29">
        <w:rPr>
          <w:rFonts w:ascii="Arial" w:eastAsia="Calibri" w:hAnsi="Arial" w:cs="Arial"/>
          <w:sz w:val="22"/>
          <w:szCs w:val="22"/>
          <w:lang w:eastAsia="en-US"/>
        </w:rPr>
        <w:t xml:space="preserve"> </w:t>
      </w:r>
    </w:p>
    <w:p w:rsidR="00515042" w:rsidRDefault="00515042">
      <w:pPr>
        <w:rPr>
          <w:rFonts w:ascii="Arial" w:hAnsi="Arial" w:cs="Arial"/>
          <w:bCs/>
          <w:sz w:val="22"/>
          <w:szCs w:val="22"/>
        </w:rPr>
      </w:pPr>
    </w:p>
    <w:p w:rsidR="00642A29" w:rsidRDefault="00E766CF">
      <w:pPr>
        <w:rPr>
          <w:rFonts w:ascii="Arial" w:hAnsi="Arial" w:cs="Arial"/>
          <w:b/>
          <w:bCs/>
          <w:sz w:val="22"/>
          <w:szCs w:val="22"/>
        </w:rPr>
      </w:pPr>
      <w:r>
        <w:rPr>
          <w:rFonts w:ascii="Arial" w:hAnsi="Arial" w:cs="Arial"/>
          <w:b/>
          <w:bCs/>
          <w:sz w:val="22"/>
          <w:szCs w:val="22"/>
        </w:rPr>
        <w:t xml:space="preserve">What </w:t>
      </w:r>
      <w:proofErr w:type="gramStart"/>
      <w:r>
        <w:rPr>
          <w:rFonts w:ascii="Arial" w:hAnsi="Arial" w:cs="Arial"/>
          <w:b/>
          <w:bCs/>
          <w:sz w:val="22"/>
          <w:szCs w:val="22"/>
        </w:rPr>
        <w:t>works</w:t>
      </w:r>
      <w:proofErr w:type="gramEnd"/>
    </w:p>
    <w:p w:rsidR="00F64FD6" w:rsidRDefault="00F64FD6">
      <w:pPr>
        <w:rPr>
          <w:rFonts w:ascii="Arial" w:hAnsi="Arial" w:cs="Arial"/>
          <w:bCs/>
          <w:sz w:val="22"/>
          <w:szCs w:val="22"/>
        </w:rPr>
      </w:pPr>
      <w:r>
        <w:rPr>
          <w:rFonts w:ascii="Arial" w:hAnsi="Arial" w:cs="Arial"/>
          <w:bCs/>
          <w:sz w:val="22"/>
          <w:szCs w:val="22"/>
        </w:rPr>
        <w:t>Nationally what wor</w:t>
      </w:r>
      <w:r w:rsidR="00642A29">
        <w:rPr>
          <w:rFonts w:ascii="Arial" w:hAnsi="Arial" w:cs="Arial"/>
          <w:bCs/>
          <w:sz w:val="22"/>
          <w:szCs w:val="22"/>
        </w:rPr>
        <w:t xml:space="preserve">ks to reduce teenage pregnancy </w:t>
      </w:r>
      <w:r>
        <w:rPr>
          <w:rFonts w:ascii="Arial" w:hAnsi="Arial" w:cs="Arial"/>
          <w:bCs/>
          <w:sz w:val="22"/>
          <w:szCs w:val="22"/>
        </w:rPr>
        <w:t>includes:</w:t>
      </w:r>
    </w:p>
    <w:p w:rsidR="00642A29" w:rsidRPr="00E766CF" w:rsidRDefault="00642A29">
      <w:pPr>
        <w:rPr>
          <w:rFonts w:ascii="Arial" w:hAnsi="Arial" w:cs="Arial"/>
          <w:bCs/>
          <w:sz w:val="22"/>
          <w:szCs w:val="22"/>
        </w:rPr>
      </w:pPr>
    </w:p>
    <w:p w:rsidR="00E766CF" w:rsidRPr="00E766CF" w:rsidRDefault="00E766CF" w:rsidP="00E766CF">
      <w:pPr>
        <w:pStyle w:val="ListParagraph"/>
        <w:numPr>
          <w:ilvl w:val="0"/>
          <w:numId w:val="25"/>
        </w:numPr>
        <w:rPr>
          <w:rFonts w:ascii="Arial" w:hAnsi="Arial" w:cs="Arial"/>
          <w:bCs/>
          <w:sz w:val="22"/>
          <w:szCs w:val="22"/>
        </w:rPr>
      </w:pPr>
      <w:r w:rsidRPr="00E766CF">
        <w:rPr>
          <w:rFonts w:ascii="Arial" w:hAnsi="Arial" w:cs="Arial"/>
          <w:bCs/>
          <w:sz w:val="22"/>
          <w:szCs w:val="22"/>
        </w:rPr>
        <w:t xml:space="preserve">Comprehensive sex and relationship education in and out of school </w:t>
      </w:r>
    </w:p>
    <w:p w:rsidR="00834051" w:rsidRDefault="00E766CF" w:rsidP="00E766CF">
      <w:pPr>
        <w:pStyle w:val="ListParagraph"/>
        <w:numPr>
          <w:ilvl w:val="0"/>
          <w:numId w:val="25"/>
        </w:numPr>
        <w:rPr>
          <w:rFonts w:ascii="Arial" w:hAnsi="Arial" w:cs="Arial"/>
          <w:bCs/>
          <w:sz w:val="22"/>
          <w:szCs w:val="22"/>
        </w:rPr>
      </w:pPr>
      <w:r w:rsidRPr="00E766CF">
        <w:rPr>
          <w:rFonts w:ascii="Arial" w:hAnsi="Arial" w:cs="Arial"/>
          <w:bCs/>
          <w:sz w:val="22"/>
          <w:szCs w:val="22"/>
        </w:rPr>
        <w:t xml:space="preserve">Easy access to young people centred contraception and sexual health services </w:t>
      </w:r>
      <w:r>
        <w:rPr>
          <w:rFonts w:ascii="Arial" w:hAnsi="Arial" w:cs="Arial"/>
          <w:bCs/>
          <w:sz w:val="22"/>
          <w:szCs w:val="22"/>
        </w:rPr>
        <w:t xml:space="preserve">(which include access and use of LARC- long acting reversible </w:t>
      </w:r>
      <w:r w:rsidR="00F64FD6">
        <w:rPr>
          <w:rFonts w:ascii="Arial" w:hAnsi="Arial" w:cs="Arial"/>
          <w:bCs/>
          <w:sz w:val="22"/>
          <w:szCs w:val="22"/>
        </w:rPr>
        <w:t xml:space="preserve"> contraception as per NICE </w:t>
      </w:r>
      <w:r w:rsidR="00834051">
        <w:rPr>
          <w:rFonts w:ascii="Arial" w:hAnsi="Arial" w:cs="Arial"/>
          <w:bCs/>
          <w:sz w:val="22"/>
          <w:szCs w:val="22"/>
        </w:rPr>
        <w:t>C</w:t>
      </w:r>
      <w:r w:rsidR="00E80572">
        <w:rPr>
          <w:rFonts w:ascii="Arial" w:hAnsi="Arial" w:cs="Arial"/>
          <w:bCs/>
          <w:sz w:val="22"/>
          <w:szCs w:val="22"/>
        </w:rPr>
        <w:t xml:space="preserve">linical </w:t>
      </w:r>
      <w:r w:rsidR="00834051">
        <w:rPr>
          <w:rFonts w:ascii="Arial" w:hAnsi="Arial" w:cs="Arial"/>
          <w:bCs/>
          <w:sz w:val="22"/>
          <w:szCs w:val="22"/>
        </w:rPr>
        <w:t>G</w:t>
      </w:r>
      <w:r w:rsidR="00E80572">
        <w:rPr>
          <w:rFonts w:ascii="Arial" w:hAnsi="Arial" w:cs="Arial"/>
          <w:bCs/>
          <w:sz w:val="22"/>
          <w:szCs w:val="22"/>
        </w:rPr>
        <w:t xml:space="preserve">uidance </w:t>
      </w:r>
      <w:r w:rsidR="00834051">
        <w:rPr>
          <w:rFonts w:ascii="Arial" w:hAnsi="Arial" w:cs="Arial"/>
          <w:bCs/>
          <w:sz w:val="22"/>
          <w:szCs w:val="22"/>
        </w:rPr>
        <w:t xml:space="preserve"> 30 (2005) </w:t>
      </w:r>
    </w:p>
    <w:p w:rsidR="00530190" w:rsidRDefault="00530190" w:rsidP="00834051">
      <w:pPr>
        <w:rPr>
          <w:rFonts w:ascii="Arial" w:hAnsi="Arial" w:cs="Arial"/>
          <w:bCs/>
          <w:sz w:val="22"/>
          <w:szCs w:val="22"/>
        </w:rPr>
      </w:pPr>
    </w:p>
    <w:p w:rsidR="00530190" w:rsidRPr="00044AD2" w:rsidRDefault="00530190" w:rsidP="00530190">
      <w:pPr>
        <w:rPr>
          <w:rFonts w:ascii="Arial" w:hAnsi="Arial" w:cs="Arial"/>
          <w:b/>
          <w:bCs/>
          <w:sz w:val="22"/>
          <w:szCs w:val="22"/>
        </w:rPr>
      </w:pPr>
      <w:r w:rsidRPr="00044AD2">
        <w:rPr>
          <w:rFonts w:ascii="Arial" w:hAnsi="Arial" w:cs="Arial"/>
          <w:b/>
          <w:bCs/>
          <w:sz w:val="22"/>
          <w:szCs w:val="22"/>
        </w:rPr>
        <w:t>Commissioning arrangements for sexual health</w:t>
      </w:r>
    </w:p>
    <w:p w:rsidR="00515042" w:rsidRDefault="00E80572" w:rsidP="00642A29">
      <w:pPr>
        <w:jc w:val="both"/>
        <w:rPr>
          <w:rFonts w:ascii="Arial" w:hAnsi="Arial" w:cs="Arial"/>
          <w:bCs/>
          <w:sz w:val="22"/>
          <w:szCs w:val="22"/>
        </w:rPr>
      </w:pPr>
      <w:r>
        <w:rPr>
          <w:rFonts w:ascii="Arial" w:hAnsi="Arial" w:cs="Arial"/>
          <w:bCs/>
          <w:sz w:val="22"/>
          <w:szCs w:val="22"/>
        </w:rPr>
        <w:t xml:space="preserve">The national and local </w:t>
      </w:r>
      <w:r w:rsidR="00834051">
        <w:rPr>
          <w:rFonts w:ascii="Arial" w:hAnsi="Arial" w:cs="Arial"/>
          <w:bCs/>
          <w:sz w:val="22"/>
          <w:szCs w:val="22"/>
        </w:rPr>
        <w:t xml:space="preserve">Infrastructure and services </w:t>
      </w:r>
      <w:r w:rsidR="00515042">
        <w:rPr>
          <w:rFonts w:ascii="Arial" w:hAnsi="Arial" w:cs="Arial"/>
          <w:bCs/>
          <w:sz w:val="22"/>
          <w:szCs w:val="22"/>
        </w:rPr>
        <w:t>during the related</w:t>
      </w:r>
      <w:r w:rsidR="00834051">
        <w:rPr>
          <w:rFonts w:ascii="Arial" w:hAnsi="Arial" w:cs="Arial"/>
          <w:bCs/>
          <w:sz w:val="22"/>
          <w:szCs w:val="22"/>
        </w:rPr>
        <w:t xml:space="preserve"> time period of the data (March 2011-March 2013)</w:t>
      </w:r>
      <w:r w:rsidR="00515042">
        <w:rPr>
          <w:rFonts w:ascii="Arial" w:hAnsi="Arial" w:cs="Arial"/>
          <w:bCs/>
          <w:sz w:val="22"/>
          <w:szCs w:val="22"/>
        </w:rPr>
        <w:t xml:space="preserve"> have changed</w:t>
      </w:r>
      <w:r>
        <w:rPr>
          <w:rFonts w:ascii="Arial" w:hAnsi="Arial" w:cs="Arial"/>
          <w:bCs/>
          <w:sz w:val="22"/>
          <w:szCs w:val="22"/>
        </w:rPr>
        <w:t xml:space="preserve"> including a </w:t>
      </w:r>
      <w:r w:rsidR="00515042">
        <w:rPr>
          <w:rFonts w:ascii="Arial" w:hAnsi="Arial" w:cs="Arial"/>
          <w:bCs/>
          <w:sz w:val="22"/>
          <w:szCs w:val="22"/>
        </w:rPr>
        <w:t>new framework for sexual health</w:t>
      </w:r>
      <w:r w:rsidR="00530190">
        <w:rPr>
          <w:rFonts w:ascii="Arial" w:hAnsi="Arial" w:cs="Arial"/>
          <w:bCs/>
          <w:sz w:val="22"/>
          <w:szCs w:val="22"/>
        </w:rPr>
        <w:t xml:space="preserve"> </w:t>
      </w:r>
      <w:r>
        <w:rPr>
          <w:rFonts w:ascii="Arial" w:hAnsi="Arial" w:cs="Arial"/>
          <w:bCs/>
          <w:sz w:val="22"/>
          <w:szCs w:val="22"/>
        </w:rPr>
        <w:t>(</w:t>
      </w:r>
      <w:r w:rsidR="00515042">
        <w:rPr>
          <w:rFonts w:ascii="Arial" w:hAnsi="Arial" w:cs="Arial"/>
          <w:bCs/>
          <w:sz w:val="22"/>
          <w:szCs w:val="22"/>
        </w:rPr>
        <w:t>March 2013</w:t>
      </w:r>
      <w:r>
        <w:rPr>
          <w:rFonts w:ascii="Arial" w:hAnsi="Arial" w:cs="Arial"/>
          <w:bCs/>
          <w:sz w:val="22"/>
          <w:szCs w:val="22"/>
        </w:rPr>
        <w:t xml:space="preserve">). This now covers a </w:t>
      </w:r>
      <w:r w:rsidR="00515042" w:rsidRPr="00642A29">
        <w:rPr>
          <w:rFonts w:ascii="Arial" w:eastAsia="Calibri" w:hAnsi="Arial" w:cs="Arial"/>
          <w:sz w:val="22"/>
          <w:szCs w:val="22"/>
          <w:lang w:eastAsia="en-US"/>
        </w:rPr>
        <w:t>range</w:t>
      </w:r>
      <w:r w:rsidR="00515042">
        <w:rPr>
          <w:rFonts w:ascii="Arial" w:hAnsi="Arial" w:cs="Arial"/>
          <w:bCs/>
          <w:sz w:val="22"/>
          <w:szCs w:val="22"/>
        </w:rPr>
        <w:t xml:space="preserve"> of commissioners and providers. This table below shows the different commissioning arrangements post April 2013.</w:t>
      </w:r>
    </w:p>
    <w:p w:rsidR="00642A29" w:rsidRDefault="00642A29" w:rsidP="00642A29">
      <w:pPr>
        <w:rPr>
          <w:rFonts w:ascii="Arial" w:hAnsi="Arial" w:cs="Arial"/>
          <w:bCs/>
          <w:sz w:val="22"/>
          <w:szCs w:val="22"/>
        </w:rPr>
      </w:pPr>
    </w:p>
    <w:p w:rsidR="00642A29" w:rsidRDefault="00642A29" w:rsidP="00642A29">
      <w:pPr>
        <w:rPr>
          <w:rFonts w:ascii="Arial" w:hAnsi="Arial" w:cs="Arial"/>
          <w:bCs/>
          <w:sz w:val="22"/>
          <w:szCs w:val="22"/>
        </w:rPr>
      </w:pPr>
      <w:r>
        <w:rPr>
          <w:rFonts w:ascii="Arial" w:hAnsi="Arial" w:cs="Arial"/>
          <w:bCs/>
          <w:sz w:val="22"/>
          <w:szCs w:val="22"/>
        </w:rPr>
        <w:t xml:space="preserve">Table 1: The commissioners for sexual health services from April 2013 </w:t>
      </w:r>
    </w:p>
    <w:p w:rsidR="00642A29" w:rsidRDefault="00642A29" w:rsidP="00834051">
      <w:pPr>
        <w:rPr>
          <w:rFonts w:ascii="Arial" w:hAnsi="Arial" w:cs="Arial"/>
          <w:bCs/>
          <w:sz w:val="22"/>
          <w:szCs w:val="22"/>
        </w:rPr>
      </w:pPr>
      <w:r>
        <w:rPr>
          <w:noProof/>
        </w:rPr>
        <w:drawing>
          <wp:inline distT="0" distB="0" distL="0" distR="0" wp14:anchorId="3CFB4433" wp14:editId="0E7426FB">
            <wp:extent cx="4389120" cy="2967292"/>
            <wp:effectExtent l="0" t="0" r="0" b="5080"/>
            <wp:docPr id="6" name="Picture 6" descr="cid:image001.png@01CF8988.926CB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988.926CB8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90515" cy="2968235"/>
                    </a:xfrm>
                    <a:prstGeom prst="rect">
                      <a:avLst/>
                    </a:prstGeom>
                    <a:noFill/>
                    <a:ln>
                      <a:noFill/>
                    </a:ln>
                  </pic:spPr>
                </pic:pic>
              </a:graphicData>
            </a:graphic>
          </wp:inline>
        </w:drawing>
      </w:r>
    </w:p>
    <w:p w:rsidR="00515042" w:rsidRPr="00642A29" w:rsidRDefault="00515042" w:rsidP="00834051">
      <w:pPr>
        <w:rPr>
          <w:rFonts w:ascii="Arial" w:hAnsi="Arial" w:cs="Arial"/>
          <w:bCs/>
          <w:sz w:val="22"/>
          <w:szCs w:val="22"/>
        </w:rPr>
      </w:pPr>
      <w:r w:rsidRPr="00515042">
        <w:rPr>
          <w:rFonts w:ascii="Arial" w:hAnsi="Arial" w:cs="Arial"/>
          <w:bCs/>
          <w:sz w:val="16"/>
          <w:szCs w:val="16"/>
        </w:rPr>
        <w:t>From A Framework for Sexual Health March 2013 (note- NHS Commissioning Board is now called NHS England)</w:t>
      </w:r>
    </w:p>
    <w:p w:rsidR="00515042" w:rsidRDefault="00515042" w:rsidP="00834051">
      <w:pPr>
        <w:rPr>
          <w:rFonts w:ascii="Arial" w:hAnsi="Arial" w:cs="Arial"/>
          <w:bCs/>
          <w:sz w:val="22"/>
          <w:szCs w:val="22"/>
        </w:rPr>
      </w:pPr>
    </w:p>
    <w:p w:rsidR="00044AD2" w:rsidRPr="00044AD2" w:rsidRDefault="00044AD2" w:rsidP="00044AD2">
      <w:pPr>
        <w:rPr>
          <w:rFonts w:ascii="Arial" w:hAnsi="Arial" w:cs="Arial"/>
          <w:b/>
          <w:bCs/>
          <w:sz w:val="22"/>
          <w:szCs w:val="22"/>
        </w:rPr>
      </w:pPr>
      <w:r w:rsidRPr="00044AD2">
        <w:rPr>
          <w:rFonts w:ascii="Arial" w:hAnsi="Arial" w:cs="Arial"/>
          <w:b/>
          <w:bCs/>
          <w:sz w:val="22"/>
          <w:szCs w:val="22"/>
        </w:rPr>
        <w:t>Local services/partnership</w:t>
      </w:r>
    </w:p>
    <w:p w:rsidR="00044AD2" w:rsidRDefault="00530190" w:rsidP="00642A29">
      <w:pPr>
        <w:jc w:val="both"/>
        <w:rPr>
          <w:rFonts w:ascii="Arial" w:hAnsi="Arial" w:cs="Arial"/>
          <w:bCs/>
          <w:sz w:val="22"/>
          <w:szCs w:val="22"/>
        </w:rPr>
      </w:pPr>
      <w:r>
        <w:rPr>
          <w:rFonts w:ascii="Arial" w:hAnsi="Arial" w:cs="Arial"/>
          <w:bCs/>
          <w:sz w:val="22"/>
          <w:szCs w:val="22"/>
        </w:rPr>
        <w:t>In NEL we</w:t>
      </w:r>
      <w:r w:rsidR="00044AD2" w:rsidRPr="00044AD2">
        <w:rPr>
          <w:rFonts w:ascii="Arial" w:hAnsi="Arial" w:cs="Arial"/>
          <w:bCs/>
          <w:sz w:val="22"/>
          <w:szCs w:val="22"/>
        </w:rPr>
        <w:t xml:space="preserve"> now have a local sexual health partnership board covering all the main commissio</w:t>
      </w:r>
      <w:r w:rsidR="00044AD2">
        <w:rPr>
          <w:rFonts w:ascii="Arial" w:hAnsi="Arial" w:cs="Arial"/>
          <w:bCs/>
          <w:sz w:val="22"/>
          <w:szCs w:val="22"/>
        </w:rPr>
        <w:t>ners identified in table 1 above</w:t>
      </w:r>
      <w:r w:rsidR="00044AD2" w:rsidRPr="00044AD2">
        <w:rPr>
          <w:rFonts w:ascii="Arial" w:hAnsi="Arial" w:cs="Arial"/>
          <w:bCs/>
          <w:sz w:val="22"/>
          <w:szCs w:val="22"/>
        </w:rPr>
        <w:t xml:space="preserve"> who review the wider range of outcomes for sexual health.</w:t>
      </w:r>
    </w:p>
    <w:p w:rsidR="00044AD2" w:rsidRDefault="00044AD2" w:rsidP="00834051">
      <w:pPr>
        <w:rPr>
          <w:rFonts w:ascii="Arial" w:hAnsi="Arial" w:cs="Arial"/>
          <w:bCs/>
          <w:sz w:val="22"/>
          <w:szCs w:val="22"/>
        </w:rPr>
      </w:pPr>
    </w:p>
    <w:p w:rsidR="00515042" w:rsidRDefault="00E80572" w:rsidP="00642A29">
      <w:pPr>
        <w:jc w:val="both"/>
        <w:rPr>
          <w:rFonts w:ascii="Arial" w:hAnsi="Arial" w:cs="Arial"/>
          <w:bCs/>
          <w:sz w:val="22"/>
          <w:szCs w:val="22"/>
        </w:rPr>
      </w:pPr>
      <w:r>
        <w:rPr>
          <w:rFonts w:ascii="Arial" w:hAnsi="Arial" w:cs="Arial"/>
          <w:bCs/>
          <w:sz w:val="22"/>
          <w:szCs w:val="22"/>
        </w:rPr>
        <w:t xml:space="preserve">The providers of the services have also changed. For example </w:t>
      </w:r>
      <w:r w:rsidR="00515042">
        <w:rPr>
          <w:rFonts w:ascii="Arial" w:hAnsi="Arial" w:cs="Arial"/>
          <w:bCs/>
          <w:sz w:val="22"/>
          <w:szCs w:val="22"/>
        </w:rPr>
        <w:t>most of the secondary schools and a high proportion of primary schools are or will be academi</w:t>
      </w:r>
      <w:r w:rsidR="003949A6">
        <w:rPr>
          <w:rFonts w:ascii="Arial" w:hAnsi="Arial" w:cs="Arial"/>
          <w:bCs/>
          <w:sz w:val="22"/>
          <w:szCs w:val="22"/>
        </w:rPr>
        <w:t xml:space="preserve">es. This could affect the type </w:t>
      </w:r>
      <w:r w:rsidR="00515042">
        <w:rPr>
          <w:rFonts w:ascii="Arial" w:hAnsi="Arial" w:cs="Arial"/>
          <w:bCs/>
          <w:sz w:val="22"/>
          <w:szCs w:val="22"/>
        </w:rPr>
        <w:t xml:space="preserve">and quality of the </w:t>
      </w:r>
      <w:r>
        <w:rPr>
          <w:rFonts w:ascii="Arial" w:hAnsi="Arial" w:cs="Arial"/>
          <w:bCs/>
          <w:sz w:val="22"/>
          <w:szCs w:val="22"/>
        </w:rPr>
        <w:t xml:space="preserve">sex and relationship education provided. </w:t>
      </w:r>
      <w:r w:rsidR="00530190">
        <w:rPr>
          <w:rFonts w:ascii="Arial" w:hAnsi="Arial" w:cs="Arial"/>
          <w:bCs/>
          <w:sz w:val="22"/>
          <w:szCs w:val="22"/>
        </w:rPr>
        <w:t xml:space="preserve">This is difficult to monitor directly. </w:t>
      </w:r>
    </w:p>
    <w:p w:rsidR="00515042" w:rsidRDefault="00515042" w:rsidP="00834051">
      <w:pPr>
        <w:rPr>
          <w:rFonts w:ascii="Arial" w:hAnsi="Arial" w:cs="Arial"/>
          <w:bCs/>
          <w:sz w:val="22"/>
          <w:szCs w:val="22"/>
        </w:rPr>
      </w:pPr>
    </w:p>
    <w:p w:rsidR="00515042" w:rsidRDefault="00E80572" w:rsidP="00642A29">
      <w:pPr>
        <w:jc w:val="both"/>
        <w:rPr>
          <w:rFonts w:ascii="Arial" w:hAnsi="Arial" w:cs="Arial"/>
          <w:bCs/>
          <w:sz w:val="22"/>
          <w:szCs w:val="22"/>
        </w:rPr>
      </w:pPr>
      <w:r>
        <w:rPr>
          <w:rFonts w:ascii="Arial" w:hAnsi="Arial" w:cs="Arial"/>
          <w:bCs/>
          <w:sz w:val="22"/>
          <w:szCs w:val="22"/>
        </w:rPr>
        <w:t>However s</w:t>
      </w:r>
      <w:r w:rsidR="00515042">
        <w:rPr>
          <w:rFonts w:ascii="Arial" w:hAnsi="Arial" w:cs="Arial"/>
          <w:bCs/>
          <w:sz w:val="22"/>
          <w:szCs w:val="22"/>
        </w:rPr>
        <w:t xml:space="preserve">ince April 2013 the current provision of LARC  </w:t>
      </w:r>
      <w:r w:rsidR="00530190">
        <w:rPr>
          <w:rFonts w:ascii="Arial" w:hAnsi="Arial" w:cs="Arial"/>
          <w:bCs/>
          <w:sz w:val="22"/>
          <w:szCs w:val="22"/>
        </w:rPr>
        <w:t>,</w:t>
      </w:r>
      <w:r w:rsidR="00515042">
        <w:rPr>
          <w:rFonts w:ascii="Arial" w:hAnsi="Arial" w:cs="Arial"/>
          <w:bCs/>
          <w:sz w:val="22"/>
          <w:szCs w:val="22"/>
        </w:rPr>
        <w:t>for availability of access and choice</w:t>
      </w:r>
      <w:r w:rsidR="00530190">
        <w:rPr>
          <w:rFonts w:ascii="Arial" w:hAnsi="Arial" w:cs="Arial"/>
          <w:bCs/>
          <w:sz w:val="22"/>
          <w:szCs w:val="22"/>
        </w:rPr>
        <w:t>,</w:t>
      </w:r>
      <w:r w:rsidR="00515042">
        <w:rPr>
          <w:rFonts w:ascii="Arial" w:hAnsi="Arial" w:cs="Arial"/>
          <w:bCs/>
          <w:sz w:val="22"/>
          <w:szCs w:val="22"/>
        </w:rPr>
        <w:t xml:space="preserve"> remains  through GP practices as well as the main sexual health provider- </w:t>
      </w:r>
      <w:r w:rsidR="00530190">
        <w:rPr>
          <w:rFonts w:ascii="Arial" w:hAnsi="Arial" w:cs="Arial"/>
          <w:bCs/>
          <w:sz w:val="22"/>
          <w:szCs w:val="22"/>
        </w:rPr>
        <w:t>Virgin Care</w:t>
      </w:r>
      <w:r w:rsidR="00515042">
        <w:rPr>
          <w:rFonts w:ascii="Arial" w:hAnsi="Arial" w:cs="Arial"/>
          <w:bCs/>
          <w:sz w:val="22"/>
          <w:szCs w:val="22"/>
        </w:rPr>
        <w:t>.</w:t>
      </w:r>
      <w:r w:rsidR="00530190">
        <w:rPr>
          <w:rFonts w:ascii="Arial" w:hAnsi="Arial" w:cs="Arial"/>
          <w:bCs/>
          <w:sz w:val="22"/>
          <w:szCs w:val="22"/>
        </w:rPr>
        <w:t xml:space="preserve"> Virgin Care also </w:t>
      </w:r>
      <w:proofErr w:type="gramStart"/>
      <w:r w:rsidR="00530190">
        <w:rPr>
          <w:rFonts w:ascii="Arial" w:hAnsi="Arial" w:cs="Arial"/>
          <w:bCs/>
          <w:sz w:val="22"/>
          <w:szCs w:val="22"/>
        </w:rPr>
        <w:t>provide</w:t>
      </w:r>
      <w:proofErr w:type="gramEnd"/>
      <w:r w:rsidR="00530190">
        <w:rPr>
          <w:rFonts w:ascii="Arial" w:hAnsi="Arial" w:cs="Arial"/>
          <w:bCs/>
          <w:sz w:val="22"/>
          <w:szCs w:val="22"/>
        </w:rPr>
        <w:t xml:space="preserve"> outreach services including colleges. </w:t>
      </w:r>
      <w:r>
        <w:rPr>
          <w:rFonts w:ascii="Arial" w:hAnsi="Arial" w:cs="Arial"/>
          <w:bCs/>
          <w:sz w:val="22"/>
          <w:szCs w:val="22"/>
        </w:rPr>
        <w:t xml:space="preserve"> In additional sexual health support through pharma</w:t>
      </w:r>
      <w:r w:rsidR="003949A6">
        <w:rPr>
          <w:rFonts w:ascii="Arial" w:hAnsi="Arial" w:cs="Arial"/>
          <w:bCs/>
          <w:sz w:val="22"/>
          <w:szCs w:val="22"/>
        </w:rPr>
        <w:t>cies (such as pregnancy testing</w:t>
      </w:r>
      <w:r>
        <w:rPr>
          <w:rFonts w:ascii="Arial" w:hAnsi="Arial" w:cs="Arial"/>
          <w:bCs/>
          <w:sz w:val="22"/>
          <w:szCs w:val="22"/>
        </w:rPr>
        <w:t xml:space="preserve">, accessing to emergency hormone contraception and condom </w:t>
      </w:r>
      <w:proofErr w:type="gramStart"/>
      <w:r>
        <w:rPr>
          <w:rFonts w:ascii="Arial" w:hAnsi="Arial" w:cs="Arial"/>
          <w:bCs/>
          <w:sz w:val="22"/>
          <w:szCs w:val="22"/>
        </w:rPr>
        <w:t>provision )</w:t>
      </w:r>
      <w:proofErr w:type="gramEnd"/>
      <w:r>
        <w:rPr>
          <w:rFonts w:ascii="Arial" w:hAnsi="Arial" w:cs="Arial"/>
          <w:bCs/>
          <w:sz w:val="22"/>
          <w:szCs w:val="22"/>
        </w:rPr>
        <w:t xml:space="preserve"> remains the same. </w:t>
      </w:r>
    </w:p>
    <w:p w:rsidR="00044AD2" w:rsidRDefault="00044AD2" w:rsidP="00834051">
      <w:pPr>
        <w:rPr>
          <w:rFonts w:ascii="Arial" w:hAnsi="Arial" w:cs="Arial"/>
          <w:bCs/>
          <w:sz w:val="22"/>
          <w:szCs w:val="22"/>
        </w:rPr>
      </w:pPr>
    </w:p>
    <w:p w:rsidR="00044AD2" w:rsidRDefault="00044AD2" w:rsidP="00642A29">
      <w:pPr>
        <w:jc w:val="both"/>
        <w:rPr>
          <w:rFonts w:ascii="Arial" w:hAnsi="Arial" w:cs="Arial"/>
          <w:bCs/>
          <w:sz w:val="22"/>
          <w:szCs w:val="22"/>
        </w:rPr>
      </w:pPr>
      <w:r>
        <w:rPr>
          <w:rFonts w:ascii="Arial" w:hAnsi="Arial" w:cs="Arial"/>
          <w:bCs/>
          <w:sz w:val="22"/>
          <w:szCs w:val="22"/>
        </w:rPr>
        <w:t xml:space="preserve">GPs </w:t>
      </w:r>
      <w:r w:rsidR="00530190">
        <w:rPr>
          <w:rFonts w:ascii="Arial" w:hAnsi="Arial" w:cs="Arial"/>
          <w:bCs/>
          <w:sz w:val="22"/>
          <w:szCs w:val="22"/>
        </w:rPr>
        <w:t>also</w:t>
      </w:r>
      <w:r>
        <w:rPr>
          <w:rFonts w:ascii="Arial" w:hAnsi="Arial" w:cs="Arial"/>
          <w:bCs/>
          <w:sz w:val="22"/>
          <w:szCs w:val="22"/>
        </w:rPr>
        <w:t xml:space="preserve"> continue to </w:t>
      </w:r>
      <w:r w:rsidR="00530190" w:rsidRPr="00642A29">
        <w:rPr>
          <w:rFonts w:ascii="Arial" w:eastAsia="Calibri" w:hAnsi="Arial" w:cs="Arial"/>
          <w:sz w:val="22"/>
          <w:szCs w:val="22"/>
          <w:lang w:eastAsia="en-US"/>
        </w:rPr>
        <w:t>provide</w:t>
      </w:r>
      <w:r>
        <w:rPr>
          <w:rFonts w:ascii="Arial" w:hAnsi="Arial" w:cs="Arial"/>
          <w:bCs/>
          <w:sz w:val="22"/>
          <w:szCs w:val="22"/>
        </w:rPr>
        <w:t xml:space="preserve"> </w:t>
      </w:r>
      <w:r w:rsidR="00530190">
        <w:rPr>
          <w:rFonts w:ascii="Arial" w:hAnsi="Arial" w:cs="Arial"/>
          <w:bCs/>
          <w:sz w:val="22"/>
          <w:szCs w:val="22"/>
        </w:rPr>
        <w:t>contraception</w:t>
      </w:r>
      <w:r>
        <w:rPr>
          <w:rFonts w:ascii="Arial" w:hAnsi="Arial" w:cs="Arial"/>
          <w:bCs/>
          <w:sz w:val="22"/>
          <w:szCs w:val="22"/>
        </w:rPr>
        <w:t xml:space="preserve"> as an </w:t>
      </w:r>
      <w:r w:rsidR="00530190">
        <w:rPr>
          <w:rFonts w:ascii="Arial" w:hAnsi="Arial" w:cs="Arial"/>
          <w:bCs/>
          <w:sz w:val="22"/>
          <w:szCs w:val="22"/>
        </w:rPr>
        <w:t>additional</w:t>
      </w:r>
      <w:r>
        <w:rPr>
          <w:rFonts w:ascii="Arial" w:hAnsi="Arial" w:cs="Arial"/>
          <w:bCs/>
          <w:sz w:val="22"/>
          <w:szCs w:val="22"/>
        </w:rPr>
        <w:t xml:space="preserve"> service under the GP contract. </w:t>
      </w:r>
    </w:p>
    <w:p w:rsidR="00044AD2" w:rsidRDefault="00044AD2" w:rsidP="00834051">
      <w:pPr>
        <w:rPr>
          <w:rFonts w:ascii="Arial" w:hAnsi="Arial" w:cs="Arial"/>
          <w:bCs/>
          <w:sz w:val="22"/>
          <w:szCs w:val="22"/>
        </w:rPr>
      </w:pPr>
    </w:p>
    <w:p w:rsidR="00044AD2" w:rsidRDefault="00044AD2" w:rsidP="00642A29">
      <w:pPr>
        <w:jc w:val="both"/>
        <w:rPr>
          <w:rFonts w:ascii="Arial" w:hAnsi="Arial" w:cs="Arial"/>
          <w:bCs/>
          <w:sz w:val="22"/>
          <w:szCs w:val="22"/>
        </w:rPr>
      </w:pPr>
      <w:r>
        <w:rPr>
          <w:rFonts w:ascii="Arial" w:hAnsi="Arial" w:cs="Arial"/>
          <w:bCs/>
          <w:sz w:val="22"/>
          <w:szCs w:val="22"/>
        </w:rPr>
        <w:t xml:space="preserve">The abortion providers </w:t>
      </w:r>
      <w:r w:rsidRPr="00642A29">
        <w:rPr>
          <w:rFonts w:ascii="Arial" w:eastAsia="Calibri" w:hAnsi="Arial" w:cs="Arial"/>
          <w:sz w:val="22"/>
          <w:szCs w:val="22"/>
          <w:lang w:eastAsia="en-US"/>
        </w:rPr>
        <w:t>commissioned</w:t>
      </w:r>
      <w:r>
        <w:rPr>
          <w:rFonts w:ascii="Arial" w:hAnsi="Arial" w:cs="Arial"/>
          <w:bCs/>
          <w:sz w:val="22"/>
          <w:szCs w:val="22"/>
        </w:rPr>
        <w:t xml:space="preserve"> through</w:t>
      </w:r>
      <w:r w:rsidR="003949A6">
        <w:rPr>
          <w:rFonts w:ascii="Arial" w:hAnsi="Arial" w:cs="Arial"/>
          <w:bCs/>
          <w:sz w:val="22"/>
          <w:szCs w:val="22"/>
        </w:rPr>
        <w:t xml:space="preserve"> the CCG include a requirement </w:t>
      </w:r>
      <w:r>
        <w:rPr>
          <w:rFonts w:ascii="Arial" w:hAnsi="Arial" w:cs="Arial"/>
          <w:bCs/>
          <w:sz w:val="22"/>
          <w:szCs w:val="22"/>
        </w:rPr>
        <w:t xml:space="preserve">that contraception is discussed </w:t>
      </w:r>
      <w:proofErr w:type="gramStart"/>
      <w:r>
        <w:rPr>
          <w:rFonts w:ascii="Arial" w:hAnsi="Arial" w:cs="Arial"/>
          <w:bCs/>
          <w:sz w:val="22"/>
          <w:szCs w:val="22"/>
        </w:rPr>
        <w:t>( and</w:t>
      </w:r>
      <w:proofErr w:type="gramEnd"/>
      <w:r>
        <w:rPr>
          <w:rFonts w:ascii="Arial" w:hAnsi="Arial" w:cs="Arial"/>
          <w:bCs/>
          <w:sz w:val="22"/>
          <w:szCs w:val="22"/>
        </w:rPr>
        <w:t xml:space="preserve"> provided where necessary) before the women leaves the service. </w:t>
      </w:r>
    </w:p>
    <w:p w:rsidR="00A0294E" w:rsidRDefault="00A0294E" w:rsidP="00834051">
      <w:pPr>
        <w:rPr>
          <w:rFonts w:ascii="Arial" w:hAnsi="Arial" w:cs="Arial"/>
          <w:bCs/>
          <w:sz w:val="22"/>
          <w:szCs w:val="22"/>
        </w:rPr>
      </w:pPr>
    </w:p>
    <w:p w:rsidR="00A0294E" w:rsidRDefault="00A0294E" w:rsidP="00642A29">
      <w:pPr>
        <w:jc w:val="both"/>
        <w:rPr>
          <w:rFonts w:ascii="Arial" w:hAnsi="Arial" w:cs="Arial"/>
          <w:bCs/>
          <w:sz w:val="22"/>
          <w:szCs w:val="22"/>
        </w:rPr>
      </w:pPr>
      <w:r>
        <w:rPr>
          <w:rFonts w:ascii="Arial" w:hAnsi="Arial" w:cs="Arial"/>
          <w:bCs/>
          <w:sz w:val="22"/>
          <w:szCs w:val="22"/>
        </w:rPr>
        <w:t xml:space="preserve">Across NL and NEL we have the Family Nurse Programme in place commissioned by NHS England  which supports first time mothers under 20 years of age- one of the programmes outcomes is to reduce /delay subsequent pregnancies.  </w:t>
      </w:r>
    </w:p>
    <w:p w:rsidR="00044AD2" w:rsidRDefault="00044AD2" w:rsidP="00834051">
      <w:pPr>
        <w:rPr>
          <w:rFonts w:ascii="Arial" w:hAnsi="Arial" w:cs="Arial"/>
          <w:bCs/>
          <w:sz w:val="22"/>
          <w:szCs w:val="22"/>
        </w:rPr>
      </w:pPr>
    </w:p>
    <w:p w:rsidR="00044AD2" w:rsidRPr="00044AD2" w:rsidRDefault="00044AD2" w:rsidP="00834051">
      <w:pPr>
        <w:rPr>
          <w:rFonts w:ascii="Arial" w:hAnsi="Arial" w:cs="Arial"/>
          <w:b/>
          <w:bCs/>
          <w:sz w:val="22"/>
          <w:szCs w:val="22"/>
        </w:rPr>
      </w:pPr>
      <w:r w:rsidRPr="00044AD2">
        <w:rPr>
          <w:rFonts w:ascii="Arial" w:hAnsi="Arial" w:cs="Arial"/>
          <w:b/>
          <w:bCs/>
          <w:sz w:val="22"/>
          <w:szCs w:val="22"/>
        </w:rPr>
        <w:t xml:space="preserve">Discussion  </w:t>
      </w:r>
    </w:p>
    <w:p w:rsidR="00044AD2" w:rsidRPr="00642A29" w:rsidRDefault="003949A6" w:rsidP="00642A29">
      <w:pPr>
        <w:jc w:val="both"/>
        <w:rPr>
          <w:rFonts w:ascii="Arial" w:hAnsi="Arial" w:cs="Arial"/>
          <w:bCs/>
          <w:sz w:val="22"/>
          <w:szCs w:val="22"/>
        </w:rPr>
      </w:pPr>
      <w:r>
        <w:rPr>
          <w:rFonts w:ascii="Arial" w:hAnsi="Arial" w:cs="Arial"/>
          <w:bCs/>
          <w:sz w:val="22"/>
          <w:szCs w:val="22"/>
        </w:rPr>
        <w:t xml:space="preserve">There are a range of </w:t>
      </w:r>
      <w:r w:rsidR="00044AD2">
        <w:rPr>
          <w:rFonts w:ascii="Arial" w:hAnsi="Arial" w:cs="Arial"/>
          <w:bCs/>
          <w:sz w:val="22"/>
          <w:szCs w:val="22"/>
        </w:rPr>
        <w:t xml:space="preserve">services in place that support the reduction of teenage conceptions and there </w:t>
      </w:r>
      <w:r>
        <w:rPr>
          <w:rFonts w:ascii="Arial" w:hAnsi="Arial" w:cs="Arial"/>
          <w:bCs/>
          <w:sz w:val="22"/>
          <w:szCs w:val="22"/>
        </w:rPr>
        <w:t xml:space="preserve">has been a steady fall locally </w:t>
      </w:r>
      <w:r w:rsidR="00044AD2">
        <w:rPr>
          <w:rFonts w:ascii="Arial" w:hAnsi="Arial" w:cs="Arial"/>
          <w:bCs/>
          <w:sz w:val="22"/>
          <w:szCs w:val="22"/>
        </w:rPr>
        <w:t xml:space="preserve">as well as nationally. Both nationally and locally it is very difficult to identify one main factor which might have supported the decline. With the change in commissioners and providers both </w:t>
      </w:r>
      <w:r w:rsidR="00044AD2" w:rsidRPr="00642A29">
        <w:rPr>
          <w:rFonts w:ascii="Arial" w:eastAsia="Calibri" w:hAnsi="Arial" w:cs="Arial"/>
          <w:sz w:val="22"/>
          <w:szCs w:val="22"/>
          <w:lang w:eastAsia="en-US"/>
        </w:rPr>
        <w:t>nationally</w:t>
      </w:r>
      <w:r w:rsidR="00044AD2">
        <w:rPr>
          <w:rFonts w:ascii="Arial" w:hAnsi="Arial" w:cs="Arial"/>
          <w:bCs/>
          <w:sz w:val="22"/>
          <w:szCs w:val="22"/>
        </w:rPr>
        <w:t xml:space="preserve"> and locally we need to continue to </w:t>
      </w:r>
      <w:r w:rsidR="00530190">
        <w:rPr>
          <w:rFonts w:ascii="Arial" w:hAnsi="Arial" w:cs="Arial"/>
          <w:bCs/>
          <w:sz w:val="22"/>
          <w:szCs w:val="22"/>
        </w:rPr>
        <w:t xml:space="preserve">ensure services are </w:t>
      </w:r>
      <w:r>
        <w:rPr>
          <w:rFonts w:ascii="Arial" w:hAnsi="Arial" w:cs="Arial"/>
          <w:bCs/>
          <w:sz w:val="22"/>
          <w:szCs w:val="22"/>
        </w:rPr>
        <w:t>commissioned and</w:t>
      </w:r>
      <w:r w:rsidR="00530190">
        <w:rPr>
          <w:rFonts w:ascii="Arial" w:hAnsi="Arial" w:cs="Arial"/>
          <w:bCs/>
          <w:sz w:val="22"/>
          <w:szCs w:val="22"/>
        </w:rPr>
        <w:t xml:space="preserve"> provided universally but also targeted to those at greatest need.  We need to continue to </w:t>
      </w:r>
      <w:r w:rsidR="00044AD2">
        <w:rPr>
          <w:rFonts w:ascii="Arial" w:hAnsi="Arial" w:cs="Arial"/>
          <w:bCs/>
          <w:sz w:val="22"/>
          <w:szCs w:val="22"/>
        </w:rPr>
        <w:t xml:space="preserve">monitor the data </w:t>
      </w:r>
      <w:r w:rsidR="00530190">
        <w:rPr>
          <w:rFonts w:ascii="Arial" w:hAnsi="Arial" w:cs="Arial"/>
          <w:bCs/>
          <w:sz w:val="22"/>
          <w:szCs w:val="22"/>
        </w:rPr>
        <w:t xml:space="preserve">quarterly and report after a full year </w:t>
      </w:r>
      <w:r w:rsidR="00044AD2">
        <w:rPr>
          <w:rFonts w:ascii="Arial" w:hAnsi="Arial" w:cs="Arial"/>
          <w:bCs/>
          <w:sz w:val="22"/>
          <w:szCs w:val="22"/>
        </w:rPr>
        <w:t xml:space="preserve">therefore </w:t>
      </w:r>
      <w:r w:rsidR="00044AD2" w:rsidRPr="00642A29">
        <w:rPr>
          <w:rFonts w:ascii="Arial" w:hAnsi="Arial" w:cs="Arial"/>
          <w:bCs/>
          <w:sz w:val="22"/>
          <w:szCs w:val="22"/>
        </w:rPr>
        <w:t xml:space="preserve">the recommendation would be to review in </w:t>
      </w:r>
      <w:r w:rsidRPr="00642A29">
        <w:rPr>
          <w:rFonts w:ascii="Arial" w:hAnsi="Arial" w:cs="Arial"/>
          <w:bCs/>
          <w:sz w:val="22"/>
          <w:szCs w:val="22"/>
        </w:rPr>
        <w:t>detail teenage</w:t>
      </w:r>
      <w:r w:rsidR="00530190" w:rsidRPr="00642A29">
        <w:rPr>
          <w:rFonts w:ascii="Arial" w:hAnsi="Arial" w:cs="Arial"/>
          <w:bCs/>
          <w:sz w:val="22"/>
          <w:szCs w:val="22"/>
        </w:rPr>
        <w:t xml:space="preserve"> conceptions including abortions</w:t>
      </w:r>
      <w:r w:rsidR="00044AD2" w:rsidRPr="00642A29">
        <w:rPr>
          <w:rFonts w:ascii="Arial" w:hAnsi="Arial" w:cs="Arial"/>
          <w:bCs/>
          <w:sz w:val="22"/>
          <w:szCs w:val="22"/>
        </w:rPr>
        <w:t xml:space="preserve"> in a year. </w:t>
      </w:r>
    </w:p>
    <w:p w:rsidR="00044AD2" w:rsidRPr="00642A29" w:rsidRDefault="00044AD2" w:rsidP="00834051">
      <w:pPr>
        <w:rPr>
          <w:rFonts w:ascii="Arial" w:hAnsi="Arial" w:cs="Arial"/>
          <w:bCs/>
          <w:sz w:val="22"/>
          <w:szCs w:val="22"/>
        </w:rPr>
      </w:pPr>
    </w:p>
    <w:p w:rsidR="00044AD2" w:rsidRDefault="00044AD2" w:rsidP="00834051">
      <w:pPr>
        <w:rPr>
          <w:rFonts w:ascii="Arial" w:hAnsi="Arial" w:cs="Arial"/>
          <w:bCs/>
          <w:sz w:val="22"/>
          <w:szCs w:val="22"/>
        </w:rPr>
      </w:pPr>
    </w:p>
    <w:p w:rsidR="00515042" w:rsidRPr="00834051" w:rsidRDefault="00515042" w:rsidP="00834051">
      <w:pPr>
        <w:rPr>
          <w:rFonts w:ascii="Arial" w:hAnsi="Arial" w:cs="Arial"/>
          <w:bCs/>
          <w:sz w:val="22"/>
          <w:szCs w:val="22"/>
        </w:rPr>
      </w:pPr>
    </w:p>
    <w:sectPr w:rsidR="00515042" w:rsidRPr="00834051" w:rsidSect="00DD7564">
      <w:footerReference w:type="default" r:id="rId12"/>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76" w:rsidRDefault="00944E76">
      <w:r>
        <w:separator/>
      </w:r>
    </w:p>
  </w:endnote>
  <w:endnote w:type="continuationSeparator" w:id="0">
    <w:p w:rsidR="00944E76" w:rsidRDefault="0094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76" w:rsidRDefault="00944E76"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76" w:rsidRDefault="00944E76">
      <w:r>
        <w:separator/>
      </w:r>
    </w:p>
  </w:footnote>
  <w:footnote w:type="continuationSeparator" w:id="0">
    <w:p w:rsidR="00944E76" w:rsidRDefault="00944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B561062"/>
    <w:multiLevelType w:val="hybridMultilevel"/>
    <w:tmpl w:val="779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39A7F72"/>
    <w:multiLevelType w:val="hybridMultilevel"/>
    <w:tmpl w:val="37C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0"/>
  </w:num>
  <w:num w:numId="4">
    <w:abstractNumId w:val="24"/>
  </w:num>
  <w:num w:numId="5">
    <w:abstractNumId w:val="17"/>
  </w:num>
  <w:num w:numId="6">
    <w:abstractNumId w:val="22"/>
  </w:num>
  <w:num w:numId="7">
    <w:abstractNumId w:val="3"/>
  </w:num>
  <w:num w:numId="8">
    <w:abstractNumId w:val="16"/>
  </w:num>
  <w:num w:numId="9">
    <w:abstractNumId w:val="19"/>
  </w:num>
  <w:num w:numId="10">
    <w:abstractNumId w:val="6"/>
  </w:num>
  <w:num w:numId="11">
    <w:abstractNumId w:val="10"/>
  </w:num>
  <w:num w:numId="12">
    <w:abstractNumId w:val="21"/>
  </w:num>
  <w:num w:numId="13">
    <w:abstractNumId w:val="13"/>
  </w:num>
  <w:num w:numId="14">
    <w:abstractNumId w:val="1"/>
  </w:num>
  <w:num w:numId="15">
    <w:abstractNumId w:val="15"/>
  </w:num>
  <w:num w:numId="16">
    <w:abstractNumId w:val="11"/>
  </w:num>
  <w:num w:numId="17">
    <w:abstractNumId w:val="18"/>
  </w:num>
  <w:num w:numId="18">
    <w:abstractNumId w:val="14"/>
  </w:num>
  <w:num w:numId="19">
    <w:abstractNumId w:val="23"/>
  </w:num>
  <w:num w:numId="20">
    <w:abstractNumId w:val="8"/>
  </w:num>
  <w:num w:numId="21">
    <w:abstractNumId w:val="7"/>
  </w:num>
  <w:num w:numId="22">
    <w:abstractNumId w:val="12"/>
  </w:num>
  <w:num w:numId="23">
    <w:abstractNumId w:val="5"/>
  </w:num>
  <w:num w:numId="24">
    <w:abstractNumId w:val="9"/>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44AD2"/>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B6ABD"/>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9A6"/>
    <w:rsid w:val="00394F30"/>
    <w:rsid w:val="003A03CB"/>
    <w:rsid w:val="003B0A06"/>
    <w:rsid w:val="003B626C"/>
    <w:rsid w:val="003C6569"/>
    <w:rsid w:val="003D2887"/>
    <w:rsid w:val="003D3E08"/>
    <w:rsid w:val="003D489F"/>
    <w:rsid w:val="003E4361"/>
    <w:rsid w:val="003F6D7A"/>
    <w:rsid w:val="003F6DF9"/>
    <w:rsid w:val="004026C1"/>
    <w:rsid w:val="00406064"/>
    <w:rsid w:val="00420D54"/>
    <w:rsid w:val="00423F06"/>
    <w:rsid w:val="004337A4"/>
    <w:rsid w:val="00434363"/>
    <w:rsid w:val="0043664F"/>
    <w:rsid w:val="00441E7A"/>
    <w:rsid w:val="00447394"/>
    <w:rsid w:val="00450490"/>
    <w:rsid w:val="00454EA5"/>
    <w:rsid w:val="00456662"/>
    <w:rsid w:val="00457AAE"/>
    <w:rsid w:val="00461A62"/>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5042"/>
    <w:rsid w:val="00517C3A"/>
    <w:rsid w:val="0052360E"/>
    <w:rsid w:val="00530190"/>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2A29"/>
    <w:rsid w:val="006468ED"/>
    <w:rsid w:val="006569A3"/>
    <w:rsid w:val="00657CC2"/>
    <w:rsid w:val="00661471"/>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4CD"/>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34051"/>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4E76"/>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294E"/>
    <w:rsid w:val="00A03A97"/>
    <w:rsid w:val="00A07A07"/>
    <w:rsid w:val="00A1183A"/>
    <w:rsid w:val="00A14275"/>
    <w:rsid w:val="00A17708"/>
    <w:rsid w:val="00A20848"/>
    <w:rsid w:val="00A31B98"/>
    <w:rsid w:val="00A35F42"/>
    <w:rsid w:val="00A40291"/>
    <w:rsid w:val="00A45F00"/>
    <w:rsid w:val="00A531CD"/>
    <w:rsid w:val="00A57BC7"/>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23F42"/>
    <w:rsid w:val="00B31017"/>
    <w:rsid w:val="00B349FF"/>
    <w:rsid w:val="00B363A4"/>
    <w:rsid w:val="00B40742"/>
    <w:rsid w:val="00B41381"/>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766CF"/>
    <w:rsid w:val="00E80572"/>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4FD6"/>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91931595">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CF8988.926CB8B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857</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5724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6</cp:revision>
  <cp:lastPrinted>2011-06-01T15:50:00Z</cp:lastPrinted>
  <dcterms:created xsi:type="dcterms:W3CDTF">2014-07-03T12:32:00Z</dcterms:created>
  <dcterms:modified xsi:type="dcterms:W3CDTF">2014-07-03T13:14:00Z</dcterms:modified>
</cp:coreProperties>
</file>