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4D3D82">
                              <w:rPr>
                                <w:rFonts w:ascii="Arial" w:hAnsi="Arial" w:cs="Arial"/>
                                <w:sz w:val="32"/>
                                <w:szCs w:val="32"/>
                              </w:rPr>
                              <w:t>12</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4D3D82">
                        <w:rPr>
                          <w:rFonts w:ascii="Arial" w:hAnsi="Arial" w:cs="Arial"/>
                          <w:sz w:val="32"/>
                          <w:szCs w:val="32"/>
                        </w:rPr>
                        <w:t>12</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3F07D6" w:rsidP="003F07D6">
            <w:pPr>
              <w:rPr>
                <w:rFonts w:ascii="Arial" w:hAnsi="Arial" w:cs="Arial"/>
                <w:bCs/>
                <w:sz w:val="22"/>
                <w:szCs w:val="22"/>
              </w:rPr>
            </w:pPr>
            <w:r>
              <w:rPr>
                <w:rFonts w:ascii="Arial" w:hAnsi="Arial" w:cs="Arial"/>
                <w:bCs/>
                <w:sz w:val="22"/>
                <w:szCs w:val="22"/>
              </w:rPr>
              <w:t>14</w:t>
            </w:r>
            <w:r w:rsidRPr="003F07D6">
              <w:rPr>
                <w:rFonts w:ascii="Arial" w:hAnsi="Arial" w:cs="Arial"/>
                <w:bCs/>
                <w:sz w:val="22"/>
                <w:szCs w:val="22"/>
                <w:vertAlign w:val="superscript"/>
              </w:rPr>
              <w:t>th</w:t>
            </w:r>
            <w:r>
              <w:rPr>
                <w:rFonts w:ascii="Arial" w:hAnsi="Arial" w:cs="Arial"/>
                <w:bCs/>
                <w:sz w:val="22"/>
                <w:szCs w:val="22"/>
              </w:rPr>
              <w:t xml:space="preserve"> January</w:t>
            </w:r>
            <w:r w:rsidR="002E0FE3">
              <w:rPr>
                <w:rFonts w:ascii="Arial" w:hAnsi="Arial" w:cs="Arial"/>
                <w:bCs/>
                <w:sz w:val="22"/>
                <w:szCs w:val="22"/>
              </w:rPr>
              <w:t xml:space="preserve"> 201</w:t>
            </w:r>
            <w:r>
              <w:rPr>
                <w:rFonts w:ascii="Arial" w:hAnsi="Arial" w:cs="Arial"/>
                <w:bCs/>
                <w:sz w:val="22"/>
                <w:szCs w:val="22"/>
              </w:rPr>
              <w:t>6</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4D3D82"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DE701F">
        <w:rPr>
          <w:rFonts w:ascii="Arial" w:hAnsi="Arial" w:cs="Arial"/>
          <w:b/>
          <w:bCs/>
          <w:sz w:val="22"/>
          <w:szCs w:val="22"/>
        </w:rPr>
        <w:t>January 2016</w:t>
      </w:r>
    </w:p>
    <w:p w:rsidR="00981F43" w:rsidRDefault="00981F43">
      <w:pPr>
        <w:rPr>
          <w:rFonts w:ascii="Arial" w:hAnsi="Arial" w:cs="Arial"/>
          <w:b/>
          <w:bCs/>
          <w:sz w:val="22"/>
          <w:szCs w:val="22"/>
        </w:rPr>
      </w:pPr>
    </w:p>
    <w:p w:rsidR="00092A27" w:rsidRDefault="00092A27" w:rsidP="00092A27">
      <w:pPr>
        <w:rPr>
          <w:rFonts w:ascii="Arial" w:hAnsi="Arial" w:cs="Arial"/>
          <w:bCs/>
          <w:sz w:val="20"/>
          <w:szCs w:val="20"/>
        </w:rPr>
      </w:pPr>
    </w:p>
    <w:p w:rsidR="00092A27" w:rsidRPr="00F34DAB" w:rsidRDefault="00092A27" w:rsidP="00092A27">
      <w:pPr>
        <w:rPr>
          <w:rFonts w:ascii="Arial" w:hAnsi="Arial" w:cs="Arial"/>
          <w:bCs/>
          <w:sz w:val="20"/>
          <w:szCs w:val="20"/>
          <w:u w:val="single"/>
        </w:rPr>
      </w:pPr>
    </w:p>
    <w:p w:rsidR="00F35EA9" w:rsidRPr="00F34DAB" w:rsidRDefault="00F35EA9" w:rsidP="00EB4238">
      <w:pPr>
        <w:pStyle w:val="ListParagraph"/>
        <w:rPr>
          <w:rFonts w:ascii="Arial" w:hAnsi="Arial" w:cs="Arial"/>
          <w:bCs/>
          <w:u w:val="single"/>
        </w:rPr>
      </w:pPr>
      <w:r w:rsidRPr="00F34DAB">
        <w:rPr>
          <w:rFonts w:ascii="Arial" w:hAnsi="Arial" w:cs="Arial"/>
          <w:b/>
          <w:bCs/>
          <w:u w:val="single"/>
        </w:rPr>
        <w:t>Procurement Update</w:t>
      </w:r>
    </w:p>
    <w:p w:rsidR="00EB4238" w:rsidRDefault="00EB4238" w:rsidP="00EB4238">
      <w:pPr>
        <w:pStyle w:val="ListParagraph"/>
        <w:rPr>
          <w:rFonts w:ascii="Arial" w:hAnsi="Arial" w:cs="Arial"/>
          <w:bCs/>
        </w:rPr>
      </w:pPr>
    </w:p>
    <w:p w:rsidR="00A06289" w:rsidRPr="00F34DAB" w:rsidRDefault="00EB4238" w:rsidP="002E0FE3">
      <w:pPr>
        <w:ind w:left="720"/>
        <w:rPr>
          <w:rFonts w:ascii="Arial" w:hAnsi="Arial" w:cs="Arial"/>
          <w:b/>
          <w:bCs/>
        </w:rPr>
      </w:pPr>
      <w:r w:rsidRPr="00F34DAB">
        <w:rPr>
          <w:rFonts w:ascii="Arial" w:hAnsi="Arial" w:cs="Arial"/>
          <w:b/>
          <w:bCs/>
        </w:rPr>
        <w:t>Patient Transport Services</w:t>
      </w:r>
    </w:p>
    <w:p w:rsidR="002E0FE3" w:rsidRDefault="002E0FE3" w:rsidP="002E0FE3">
      <w:pPr>
        <w:ind w:left="720"/>
        <w:rPr>
          <w:rFonts w:ascii="Arial" w:hAnsi="Arial" w:cs="Arial"/>
          <w:bCs/>
        </w:rPr>
      </w:pPr>
      <w:r>
        <w:rPr>
          <w:rFonts w:ascii="Arial" w:hAnsi="Arial" w:cs="Arial"/>
          <w:bCs/>
        </w:rPr>
        <w:t xml:space="preserve">The service specification has been agreed by both NEL &amp; NL CCG and </w:t>
      </w:r>
      <w:r w:rsidR="00DE701F">
        <w:rPr>
          <w:rFonts w:ascii="Arial" w:hAnsi="Arial" w:cs="Arial"/>
          <w:bCs/>
        </w:rPr>
        <w:t xml:space="preserve">went </w:t>
      </w:r>
      <w:r>
        <w:rPr>
          <w:rFonts w:ascii="Arial" w:hAnsi="Arial" w:cs="Arial"/>
          <w:bCs/>
        </w:rPr>
        <w:t xml:space="preserve">out for procurement in this </w:t>
      </w:r>
      <w:r w:rsidR="00DE701F">
        <w:rPr>
          <w:rFonts w:ascii="Arial" w:hAnsi="Arial" w:cs="Arial"/>
          <w:bCs/>
        </w:rPr>
        <w:t>November</w:t>
      </w:r>
      <w:r>
        <w:rPr>
          <w:rFonts w:ascii="Arial" w:hAnsi="Arial" w:cs="Arial"/>
          <w:bCs/>
        </w:rPr>
        <w:t>, led by the YHCS procurement team. There has been active engagement with respective CCG communities with feedback incorporated into the bidding process.</w:t>
      </w:r>
    </w:p>
    <w:p w:rsidR="002E0FE3" w:rsidRDefault="002E0FE3" w:rsidP="002E0FE3">
      <w:pPr>
        <w:ind w:left="720"/>
        <w:rPr>
          <w:rFonts w:ascii="Arial" w:hAnsi="Arial" w:cs="Arial"/>
          <w:bCs/>
        </w:rPr>
      </w:pPr>
      <w:r>
        <w:rPr>
          <w:rFonts w:ascii="Arial" w:hAnsi="Arial" w:cs="Arial"/>
          <w:bCs/>
        </w:rPr>
        <w:t>The expected award date is Feb/ March 2016 with a go live date for the provider of 1</w:t>
      </w:r>
      <w:r w:rsidRPr="002E0FE3">
        <w:rPr>
          <w:rFonts w:ascii="Arial" w:hAnsi="Arial" w:cs="Arial"/>
          <w:bCs/>
          <w:vertAlign w:val="superscript"/>
        </w:rPr>
        <w:t>st</w:t>
      </w:r>
      <w:r>
        <w:rPr>
          <w:rFonts w:ascii="Arial" w:hAnsi="Arial" w:cs="Arial"/>
          <w:bCs/>
        </w:rPr>
        <w:t xml:space="preserve"> October 2016. </w:t>
      </w:r>
    </w:p>
    <w:p w:rsidR="002E0FE3" w:rsidRDefault="002E0FE3" w:rsidP="002E0FE3">
      <w:pPr>
        <w:ind w:left="720"/>
        <w:rPr>
          <w:rFonts w:ascii="Arial" w:hAnsi="Arial" w:cs="Arial"/>
          <w:bCs/>
        </w:rPr>
      </w:pPr>
    </w:p>
    <w:p w:rsidR="00E721C8" w:rsidRPr="00F34DAB" w:rsidRDefault="00E721C8" w:rsidP="002E0FE3">
      <w:pPr>
        <w:ind w:left="720"/>
        <w:rPr>
          <w:rFonts w:ascii="Arial" w:hAnsi="Arial" w:cs="Arial"/>
          <w:b/>
          <w:bCs/>
        </w:rPr>
      </w:pPr>
      <w:r w:rsidRPr="00F34DAB">
        <w:rPr>
          <w:rFonts w:ascii="Arial" w:hAnsi="Arial" w:cs="Arial"/>
          <w:b/>
          <w:bCs/>
        </w:rPr>
        <w:t>GP Out of Hours</w:t>
      </w:r>
    </w:p>
    <w:p w:rsidR="00E807B2" w:rsidRDefault="00E721C8" w:rsidP="002E0FE3">
      <w:pPr>
        <w:ind w:left="720"/>
        <w:rPr>
          <w:rFonts w:ascii="Arial" w:hAnsi="Arial" w:cs="Arial"/>
          <w:bCs/>
        </w:rPr>
      </w:pPr>
      <w:r>
        <w:rPr>
          <w:rFonts w:ascii="Arial" w:hAnsi="Arial" w:cs="Arial"/>
          <w:bCs/>
        </w:rPr>
        <w:t xml:space="preserve">The GP Urgent care contract incorporating GP </w:t>
      </w:r>
      <w:proofErr w:type="gramStart"/>
      <w:r>
        <w:rPr>
          <w:rFonts w:ascii="Arial" w:hAnsi="Arial" w:cs="Arial"/>
          <w:bCs/>
        </w:rPr>
        <w:t>Out</w:t>
      </w:r>
      <w:proofErr w:type="gramEnd"/>
      <w:r>
        <w:rPr>
          <w:rFonts w:ascii="Arial" w:hAnsi="Arial" w:cs="Arial"/>
          <w:bCs/>
        </w:rPr>
        <w:t xml:space="preserve"> of Hours and GP A&amp;E front Ending </w:t>
      </w:r>
      <w:r w:rsidR="00DE701F">
        <w:rPr>
          <w:rFonts w:ascii="Arial" w:hAnsi="Arial" w:cs="Arial"/>
          <w:bCs/>
        </w:rPr>
        <w:t>went</w:t>
      </w:r>
      <w:r>
        <w:rPr>
          <w:rFonts w:ascii="Arial" w:hAnsi="Arial" w:cs="Arial"/>
          <w:bCs/>
        </w:rPr>
        <w:t xml:space="preserve"> out for open procurement in November. </w:t>
      </w:r>
      <w:r w:rsidR="00DE701F">
        <w:rPr>
          <w:rFonts w:ascii="Arial" w:hAnsi="Arial" w:cs="Arial"/>
          <w:bCs/>
        </w:rPr>
        <w:t xml:space="preserve"> The closing date was the 6</w:t>
      </w:r>
      <w:r w:rsidR="00DE701F" w:rsidRPr="00DE701F">
        <w:rPr>
          <w:rFonts w:ascii="Arial" w:hAnsi="Arial" w:cs="Arial"/>
          <w:bCs/>
          <w:vertAlign w:val="superscript"/>
        </w:rPr>
        <w:t>th</w:t>
      </w:r>
      <w:r w:rsidR="00DE701F">
        <w:rPr>
          <w:rFonts w:ascii="Arial" w:hAnsi="Arial" w:cs="Arial"/>
          <w:bCs/>
        </w:rPr>
        <w:t xml:space="preserve"> January and a small number of bidders returned tenders. They are being actively evaluated at this time in preparation for shortlisting. The award date is due at the end of February.</w:t>
      </w:r>
    </w:p>
    <w:p w:rsidR="00DE701F" w:rsidRDefault="00DE701F" w:rsidP="002E0FE3">
      <w:pPr>
        <w:ind w:left="720"/>
        <w:rPr>
          <w:rFonts w:ascii="Arial" w:hAnsi="Arial" w:cs="Arial"/>
          <w:bCs/>
        </w:rPr>
      </w:pPr>
    </w:p>
    <w:p w:rsidR="00E807B2" w:rsidRPr="00D404E1" w:rsidRDefault="00E807B2" w:rsidP="002E0FE3">
      <w:pPr>
        <w:ind w:left="720"/>
        <w:rPr>
          <w:rFonts w:ascii="Arial" w:hAnsi="Arial" w:cs="Arial"/>
          <w:b/>
          <w:bCs/>
        </w:rPr>
      </w:pPr>
      <w:r w:rsidRPr="00D404E1">
        <w:rPr>
          <w:rFonts w:ascii="Arial" w:hAnsi="Arial" w:cs="Arial"/>
          <w:b/>
          <w:bCs/>
        </w:rPr>
        <w:t xml:space="preserve">Voluntary and Community Sector (VCS) </w:t>
      </w:r>
    </w:p>
    <w:p w:rsidR="00E807B2" w:rsidRDefault="00E807B2" w:rsidP="002E0FE3">
      <w:pPr>
        <w:ind w:left="720"/>
        <w:rPr>
          <w:rFonts w:ascii="Arial" w:hAnsi="Arial" w:cs="Arial"/>
          <w:bCs/>
        </w:rPr>
      </w:pPr>
      <w:r>
        <w:rPr>
          <w:rFonts w:ascii="Arial" w:hAnsi="Arial" w:cs="Arial"/>
          <w:bCs/>
        </w:rPr>
        <w:t xml:space="preserve">The CCG working with the Local Authority </w:t>
      </w:r>
      <w:r w:rsidR="00DE701F">
        <w:rPr>
          <w:rFonts w:ascii="Arial" w:hAnsi="Arial" w:cs="Arial"/>
          <w:bCs/>
        </w:rPr>
        <w:t xml:space="preserve">went to procure </w:t>
      </w:r>
      <w:proofErr w:type="gramStart"/>
      <w:r w:rsidR="00DE701F">
        <w:rPr>
          <w:rFonts w:ascii="Arial" w:hAnsi="Arial" w:cs="Arial"/>
          <w:bCs/>
        </w:rPr>
        <w:t xml:space="preserve">a </w:t>
      </w:r>
      <w:r>
        <w:rPr>
          <w:rFonts w:ascii="Arial" w:hAnsi="Arial" w:cs="Arial"/>
          <w:bCs/>
        </w:rPr>
        <w:t xml:space="preserve"> support</w:t>
      </w:r>
      <w:proofErr w:type="gramEnd"/>
      <w:r w:rsidRPr="00E807B2">
        <w:t xml:space="preserve"> </w:t>
      </w:r>
      <w:r w:rsidRPr="00E807B2">
        <w:rPr>
          <w:rFonts w:ascii="Arial" w:hAnsi="Arial" w:cs="Arial"/>
          <w:bCs/>
        </w:rPr>
        <w:t xml:space="preserve">infrastructure </w:t>
      </w:r>
      <w:r>
        <w:rPr>
          <w:rFonts w:ascii="Arial" w:hAnsi="Arial" w:cs="Arial"/>
          <w:bCs/>
        </w:rPr>
        <w:t>in November</w:t>
      </w:r>
      <w:r w:rsidR="00A1275B">
        <w:rPr>
          <w:rFonts w:ascii="Arial" w:hAnsi="Arial" w:cs="Arial"/>
          <w:bCs/>
        </w:rPr>
        <w:t xml:space="preserve">, with an award date in February and a go live date in April. </w:t>
      </w:r>
    </w:p>
    <w:p w:rsidR="00DE701F" w:rsidRPr="00D404E1" w:rsidRDefault="00DE701F" w:rsidP="002E0FE3">
      <w:pPr>
        <w:ind w:left="720"/>
        <w:rPr>
          <w:rFonts w:ascii="Arial" w:hAnsi="Arial" w:cs="Arial"/>
          <w:bCs/>
        </w:rPr>
      </w:pPr>
    </w:p>
    <w:p w:rsidR="00DE701F" w:rsidRPr="00D404E1" w:rsidRDefault="00DE701F" w:rsidP="00DE701F">
      <w:pPr>
        <w:ind w:left="720"/>
        <w:rPr>
          <w:rFonts w:ascii="Arial" w:hAnsi="Arial" w:cs="Arial"/>
          <w:b/>
          <w:bCs/>
        </w:rPr>
      </w:pPr>
      <w:r w:rsidRPr="00D404E1">
        <w:rPr>
          <w:rFonts w:ascii="Arial" w:hAnsi="Arial" w:cs="Arial"/>
          <w:b/>
          <w:bCs/>
        </w:rPr>
        <w:t>Non Obstetric Ultrasound (NOUS) &amp; Pain AQP refresh</w:t>
      </w:r>
      <w:r w:rsidR="003F07D6" w:rsidRPr="00D404E1">
        <w:rPr>
          <w:rFonts w:ascii="Arial" w:hAnsi="Arial" w:cs="Arial"/>
          <w:b/>
          <w:bCs/>
        </w:rPr>
        <w:t xml:space="preserve"> (Any Qualified Provider)</w:t>
      </w:r>
    </w:p>
    <w:p w:rsidR="003C57D0" w:rsidRPr="00EB4238" w:rsidRDefault="00DE701F" w:rsidP="00EB4238">
      <w:pPr>
        <w:ind w:left="720"/>
        <w:rPr>
          <w:rFonts w:ascii="Arial" w:hAnsi="Arial" w:cs="Arial"/>
          <w:bCs/>
        </w:rPr>
      </w:pPr>
      <w:r w:rsidRPr="00DE701F">
        <w:rPr>
          <w:rFonts w:ascii="Arial" w:hAnsi="Arial" w:cs="Arial"/>
          <w:bCs/>
        </w:rPr>
        <w:t>AQP was a national programme which required PCTs to open a set of services to the wider market in order to increase patient choice.   In NEL (before the CCG was established) the AQP procurement was for two services, NOUS and Pain management, which commenced in April 2013 under 3 year contracts. The contracts now need to be revalidated and opened for new entrants.</w:t>
      </w:r>
      <w:r>
        <w:rPr>
          <w:rFonts w:ascii="Arial" w:hAnsi="Arial" w:cs="Arial"/>
          <w:bCs/>
        </w:rPr>
        <w:t xml:space="preserve"> The CCG will invite current and prospective entrants to submit bids to operate under a framework agreement.</w:t>
      </w:r>
      <w:r w:rsidR="003F07D6">
        <w:rPr>
          <w:rFonts w:ascii="Arial" w:hAnsi="Arial" w:cs="Arial"/>
          <w:bCs/>
        </w:rPr>
        <w:t xml:space="preserve"> The services will continue and current providers can continue to provide services if they submit documentation and can meet the service requirements.</w:t>
      </w:r>
    </w:p>
    <w:p w:rsidR="00EB4238" w:rsidRDefault="00EB4238" w:rsidP="00EB4238">
      <w:pPr>
        <w:pStyle w:val="ListParagraph"/>
        <w:rPr>
          <w:rFonts w:ascii="Arial" w:hAnsi="Arial" w:cs="Arial"/>
          <w:b/>
          <w:bCs/>
        </w:rPr>
      </w:pPr>
    </w:p>
    <w:p w:rsidR="00EB4238" w:rsidRPr="00D404E1" w:rsidRDefault="00EB4238" w:rsidP="00EB4238">
      <w:pPr>
        <w:pStyle w:val="ListParagraph"/>
        <w:rPr>
          <w:rFonts w:ascii="Arial" w:hAnsi="Arial" w:cs="Arial"/>
          <w:bCs/>
        </w:rPr>
      </w:pPr>
      <w:r w:rsidRPr="00D404E1">
        <w:rPr>
          <w:rFonts w:ascii="Arial" w:hAnsi="Arial" w:cs="Arial"/>
          <w:b/>
          <w:bCs/>
        </w:rPr>
        <w:t>Personal Laundry Service</w:t>
      </w:r>
    </w:p>
    <w:p w:rsidR="003C57D0" w:rsidRDefault="00EB4238" w:rsidP="003C57D0">
      <w:pPr>
        <w:ind w:left="720"/>
        <w:rPr>
          <w:rFonts w:ascii="Arial" w:hAnsi="Arial" w:cs="Arial"/>
          <w:bCs/>
        </w:rPr>
      </w:pPr>
      <w:r>
        <w:rPr>
          <w:rFonts w:ascii="Arial" w:hAnsi="Arial" w:cs="Arial"/>
          <w:bCs/>
        </w:rPr>
        <w:t xml:space="preserve">A small procurement was carried out to secure alternative Laundry provision following the existing service provider serving notice on the contract.  It is a small service and therefore contract servicing the needs of a small number of learning disability clients within their own homes in North East Lincolnshire.  The new personal laundry service provider is </w:t>
      </w:r>
      <w:proofErr w:type="spellStart"/>
      <w:r w:rsidR="00D404E1">
        <w:rPr>
          <w:rFonts w:ascii="Arial" w:hAnsi="Arial" w:cs="Arial"/>
          <w:bCs/>
        </w:rPr>
        <w:t>NAViG</w:t>
      </w:r>
      <w:r w:rsidR="003C57D0">
        <w:rPr>
          <w:rFonts w:ascii="Arial" w:hAnsi="Arial" w:cs="Arial"/>
          <w:bCs/>
        </w:rPr>
        <w:t>o</w:t>
      </w:r>
      <w:proofErr w:type="spellEnd"/>
      <w:r>
        <w:rPr>
          <w:rFonts w:ascii="Arial" w:hAnsi="Arial" w:cs="Arial"/>
          <w:bCs/>
        </w:rPr>
        <w:t xml:space="preserve"> Extra.</w:t>
      </w:r>
      <w:r w:rsidR="003C57D0">
        <w:rPr>
          <w:rFonts w:ascii="Arial" w:hAnsi="Arial" w:cs="Arial"/>
          <w:bCs/>
        </w:rPr>
        <w:t xml:space="preserve"> </w:t>
      </w:r>
    </w:p>
    <w:p w:rsidR="00DE701F" w:rsidRDefault="00DE701F" w:rsidP="003C57D0">
      <w:pPr>
        <w:ind w:left="720"/>
        <w:rPr>
          <w:rFonts w:ascii="Arial" w:hAnsi="Arial" w:cs="Arial"/>
          <w:bCs/>
        </w:rPr>
      </w:pPr>
    </w:p>
    <w:p w:rsidR="00EB4238" w:rsidRPr="00D404E1" w:rsidRDefault="00DE701F" w:rsidP="003C57D0">
      <w:pPr>
        <w:ind w:left="720"/>
        <w:rPr>
          <w:rFonts w:ascii="Arial" w:hAnsi="Arial" w:cs="Arial"/>
          <w:bCs/>
        </w:rPr>
      </w:pPr>
      <w:r w:rsidRPr="00D404E1">
        <w:rPr>
          <w:rFonts w:ascii="Arial" w:hAnsi="Arial" w:cs="Arial"/>
          <w:b/>
          <w:bCs/>
        </w:rPr>
        <w:t>Domiciliary care</w:t>
      </w:r>
      <w:r w:rsidRPr="00D404E1">
        <w:rPr>
          <w:rFonts w:ascii="Arial" w:hAnsi="Arial" w:cs="Arial"/>
          <w:bCs/>
        </w:rPr>
        <w:t xml:space="preserve"> </w:t>
      </w:r>
    </w:p>
    <w:p w:rsidR="00F34DAB" w:rsidRDefault="00DE701F" w:rsidP="003C57D0">
      <w:pPr>
        <w:ind w:left="720"/>
        <w:rPr>
          <w:rFonts w:ascii="Arial" w:hAnsi="Arial" w:cs="Arial"/>
          <w:bCs/>
        </w:rPr>
      </w:pPr>
      <w:r w:rsidRPr="00DE701F">
        <w:rPr>
          <w:rFonts w:ascii="Arial" w:hAnsi="Arial" w:cs="Arial"/>
          <w:bCs/>
        </w:rPr>
        <w:t>The transition</w:t>
      </w:r>
      <w:r w:rsidR="00F34DAB">
        <w:rPr>
          <w:rFonts w:ascii="Arial" w:hAnsi="Arial" w:cs="Arial"/>
          <w:bCs/>
        </w:rPr>
        <w:t xml:space="preserve"> from the old providers to the new providers is now complete with the </w:t>
      </w:r>
      <w:r w:rsidRPr="00DE701F">
        <w:rPr>
          <w:rFonts w:ascii="Arial" w:hAnsi="Arial" w:cs="Arial"/>
          <w:bCs/>
        </w:rPr>
        <w:t>final</w:t>
      </w:r>
      <w:r w:rsidR="00F34DAB">
        <w:rPr>
          <w:rFonts w:ascii="Arial" w:hAnsi="Arial" w:cs="Arial"/>
          <w:bCs/>
        </w:rPr>
        <w:t xml:space="preserve"> &amp; largest </w:t>
      </w:r>
      <w:r w:rsidRPr="00DE701F">
        <w:rPr>
          <w:rFonts w:ascii="Arial" w:hAnsi="Arial" w:cs="Arial"/>
          <w:bCs/>
        </w:rPr>
        <w:t>transfer</w:t>
      </w:r>
      <w:r w:rsidR="00F34DAB">
        <w:rPr>
          <w:rFonts w:ascii="Arial" w:hAnsi="Arial" w:cs="Arial"/>
          <w:bCs/>
        </w:rPr>
        <w:t xml:space="preserve"> of care hours</w:t>
      </w:r>
      <w:r w:rsidRPr="00DE701F">
        <w:rPr>
          <w:rFonts w:ascii="Arial" w:hAnsi="Arial" w:cs="Arial"/>
          <w:bCs/>
        </w:rPr>
        <w:t xml:space="preserve"> taking place on 7th December (approximately 2000 hours and 32 staff transferring from Hales/Abbey to two new Providers).  </w:t>
      </w:r>
    </w:p>
    <w:p w:rsidR="00F34DAB" w:rsidRDefault="00F34DAB" w:rsidP="003C57D0">
      <w:pPr>
        <w:ind w:left="720"/>
        <w:rPr>
          <w:rFonts w:ascii="Arial" w:hAnsi="Arial" w:cs="Arial"/>
          <w:bCs/>
        </w:rPr>
      </w:pPr>
    </w:p>
    <w:p w:rsidR="00DE701F" w:rsidRDefault="00DE701F" w:rsidP="003C57D0">
      <w:pPr>
        <w:ind w:left="720"/>
        <w:rPr>
          <w:rFonts w:ascii="Arial" w:hAnsi="Arial" w:cs="Arial"/>
          <w:bCs/>
        </w:rPr>
      </w:pPr>
      <w:r w:rsidRPr="00DE701F">
        <w:rPr>
          <w:rFonts w:ascii="Arial" w:hAnsi="Arial" w:cs="Arial"/>
          <w:bCs/>
        </w:rPr>
        <w:t xml:space="preserve">CCG staff </w:t>
      </w:r>
      <w:r>
        <w:rPr>
          <w:rFonts w:ascii="Arial" w:hAnsi="Arial" w:cs="Arial"/>
          <w:bCs/>
        </w:rPr>
        <w:t xml:space="preserve">managed </w:t>
      </w:r>
      <w:r w:rsidRPr="00DE701F">
        <w:rPr>
          <w:rFonts w:ascii="Arial" w:hAnsi="Arial" w:cs="Arial"/>
          <w:bCs/>
        </w:rPr>
        <w:t>the transition holding meetings with all providers</w:t>
      </w:r>
      <w:r w:rsidR="00F34DAB">
        <w:rPr>
          <w:rFonts w:ascii="Arial" w:hAnsi="Arial" w:cs="Arial"/>
          <w:bCs/>
        </w:rPr>
        <w:t xml:space="preserve">, putting in place contingency plans with </w:t>
      </w:r>
      <w:r w:rsidRPr="00DE701F">
        <w:rPr>
          <w:rFonts w:ascii="Arial" w:hAnsi="Arial" w:cs="Arial"/>
          <w:bCs/>
        </w:rPr>
        <w:t>HICA and CPG</w:t>
      </w:r>
      <w:r w:rsidR="00F34DAB">
        <w:rPr>
          <w:rFonts w:ascii="Arial" w:hAnsi="Arial" w:cs="Arial"/>
          <w:bCs/>
        </w:rPr>
        <w:t xml:space="preserve">, should any issues arise in the initial period following the transfer.  </w:t>
      </w:r>
      <w:r w:rsidRPr="00DE701F">
        <w:rPr>
          <w:rFonts w:ascii="Arial" w:hAnsi="Arial" w:cs="Arial"/>
          <w:bCs/>
        </w:rPr>
        <w:t xml:space="preserve"> Checks are being carried out in order to try and ensure continuation of carers and the minimum disruption to service users.</w:t>
      </w:r>
      <w:r>
        <w:rPr>
          <w:rFonts w:ascii="Arial" w:hAnsi="Arial" w:cs="Arial"/>
          <w:bCs/>
        </w:rPr>
        <w:t xml:space="preserve"> The transition went very well with minimal issues occurring and no significant issues arising.</w:t>
      </w:r>
    </w:p>
    <w:p w:rsidR="003C57D0" w:rsidRDefault="003C57D0" w:rsidP="003C57D0">
      <w:pPr>
        <w:rPr>
          <w:rFonts w:ascii="Arial" w:hAnsi="Arial" w:cs="Arial"/>
          <w:bCs/>
        </w:rPr>
      </w:pPr>
    </w:p>
    <w:p w:rsidR="00F34DAB" w:rsidRPr="00D404E1" w:rsidRDefault="00F34DAB" w:rsidP="003C57D0">
      <w:pPr>
        <w:rPr>
          <w:rFonts w:ascii="Arial" w:hAnsi="Arial" w:cs="Arial"/>
          <w:bCs/>
        </w:rPr>
      </w:pPr>
    </w:p>
    <w:p w:rsidR="00F34DAB" w:rsidRPr="00D404E1" w:rsidRDefault="00F34DAB" w:rsidP="00F34DAB">
      <w:pPr>
        <w:ind w:left="426" w:firstLine="294"/>
        <w:rPr>
          <w:rFonts w:ascii="Arial" w:hAnsi="Arial" w:cs="Arial"/>
          <w:b/>
          <w:bCs/>
        </w:rPr>
      </w:pPr>
      <w:r w:rsidRPr="00D404E1">
        <w:rPr>
          <w:rFonts w:ascii="Arial" w:hAnsi="Arial" w:cs="Arial"/>
          <w:b/>
          <w:bCs/>
        </w:rPr>
        <w:t>Yorkshire &amp; Humber CS (YHCS</w:t>
      </w:r>
      <w:proofErr w:type="gramStart"/>
      <w:r w:rsidRPr="00D404E1">
        <w:rPr>
          <w:rFonts w:ascii="Arial" w:hAnsi="Arial" w:cs="Arial"/>
          <w:b/>
          <w:bCs/>
        </w:rPr>
        <w:t>)  Update</w:t>
      </w:r>
      <w:proofErr w:type="gramEnd"/>
    </w:p>
    <w:p w:rsidR="00F34DAB" w:rsidRDefault="00F34DAB" w:rsidP="00F34DAB">
      <w:pPr>
        <w:ind w:left="720"/>
        <w:rPr>
          <w:rFonts w:ascii="Arial" w:hAnsi="Arial" w:cs="Arial"/>
          <w:bCs/>
        </w:rPr>
      </w:pPr>
      <w:r>
        <w:rPr>
          <w:rFonts w:ascii="Arial" w:hAnsi="Arial" w:cs="Arial"/>
          <w:bCs/>
        </w:rPr>
        <w:t>The providers have now been selected as preferred bidders for Lot 1, 2a &amp; 2b.</w:t>
      </w:r>
    </w:p>
    <w:p w:rsidR="00F34DAB" w:rsidRDefault="00F34DAB" w:rsidP="00F34DAB">
      <w:pPr>
        <w:ind w:left="720"/>
        <w:rPr>
          <w:rFonts w:ascii="Arial" w:hAnsi="Arial" w:cs="Arial"/>
          <w:bCs/>
        </w:rPr>
      </w:pPr>
    </w:p>
    <w:p w:rsidR="00F34DAB" w:rsidRDefault="00F34DAB" w:rsidP="00F34DAB">
      <w:pPr>
        <w:ind w:left="720"/>
        <w:rPr>
          <w:rFonts w:ascii="Arial" w:hAnsi="Arial" w:cs="Arial"/>
          <w:bCs/>
        </w:rPr>
      </w:pPr>
      <w:r>
        <w:rPr>
          <w:rFonts w:ascii="Arial" w:hAnsi="Arial" w:cs="Arial"/>
          <w:bCs/>
        </w:rPr>
        <w:t>Lot 1 was the GP and Corporate IT, HR (Business intelligence for other CCG’s) and small amount of finance support. The contract has been awarded to EMBED a consortium of providers new to the commissioning support service.</w:t>
      </w:r>
    </w:p>
    <w:p w:rsidR="00F34DAB" w:rsidRDefault="00F34DAB" w:rsidP="00F34DAB">
      <w:pPr>
        <w:ind w:left="720"/>
        <w:rPr>
          <w:rFonts w:ascii="Arial" w:hAnsi="Arial" w:cs="Arial"/>
          <w:bCs/>
        </w:rPr>
      </w:pPr>
    </w:p>
    <w:p w:rsidR="00F34DAB" w:rsidRDefault="00F34DAB" w:rsidP="00F34DAB">
      <w:pPr>
        <w:ind w:left="720"/>
        <w:rPr>
          <w:rFonts w:ascii="Arial" w:hAnsi="Arial" w:cs="Arial"/>
          <w:bCs/>
        </w:rPr>
      </w:pPr>
      <w:r>
        <w:rPr>
          <w:rFonts w:ascii="Arial" w:hAnsi="Arial" w:cs="Arial"/>
          <w:bCs/>
        </w:rPr>
        <w:t>Lot 2a and 2b for Medicine management and Individual Funding requests was awarded to North East Commissioning Support, a provider who has delivered services to the commissioners in the North east for some years.</w:t>
      </w:r>
    </w:p>
    <w:p w:rsidR="00F34DAB" w:rsidRDefault="00F34DAB" w:rsidP="00F34DAB">
      <w:pPr>
        <w:ind w:left="720"/>
        <w:rPr>
          <w:rFonts w:ascii="Arial" w:hAnsi="Arial" w:cs="Arial"/>
          <w:bCs/>
        </w:rPr>
      </w:pPr>
    </w:p>
    <w:p w:rsidR="00F34DAB" w:rsidRDefault="00F34DAB" w:rsidP="00F34DAB">
      <w:pPr>
        <w:ind w:left="720"/>
        <w:rPr>
          <w:rFonts w:ascii="Arial" w:hAnsi="Arial" w:cs="Arial"/>
          <w:bCs/>
        </w:rPr>
      </w:pPr>
      <w:r>
        <w:rPr>
          <w:rFonts w:ascii="Arial" w:hAnsi="Arial" w:cs="Arial"/>
          <w:bCs/>
        </w:rPr>
        <w:t>Staff will be TUPE transferred over the next few months as the go live date is the 1</w:t>
      </w:r>
      <w:r w:rsidRPr="003C57D0">
        <w:rPr>
          <w:rFonts w:ascii="Arial" w:hAnsi="Arial" w:cs="Arial"/>
          <w:bCs/>
          <w:vertAlign w:val="superscript"/>
        </w:rPr>
        <w:t>st</w:t>
      </w:r>
      <w:r>
        <w:rPr>
          <w:rFonts w:ascii="Arial" w:hAnsi="Arial" w:cs="Arial"/>
          <w:bCs/>
        </w:rPr>
        <w:t xml:space="preserve"> March 2016. The CCG will manage its relationship with these providers as part of the routine contract management process, in collaboration with other CCG’s. </w:t>
      </w:r>
    </w:p>
    <w:p w:rsidR="00F34DAB" w:rsidRDefault="00F34DAB" w:rsidP="00F34DAB">
      <w:pPr>
        <w:pStyle w:val="ListParagraph"/>
        <w:rPr>
          <w:rFonts w:ascii="Arial" w:hAnsi="Arial" w:cs="Arial"/>
          <w:b/>
          <w:bCs/>
        </w:rPr>
      </w:pPr>
    </w:p>
    <w:p w:rsidR="00F34DAB" w:rsidRDefault="00F34DAB" w:rsidP="00F34DAB">
      <w:pPr>
        <w:pStyle w:val="ListParagraph"/>
        <w:rPr>
          <w:rFonts w:ascii="Arial" w:hAnsi="Arial" w:cs="Arial"/>
          <w:b/>
          <w:bCs/>
        </w:rPr>
      </w:pPr>
    </w:p>
    <w:p w:rsidR="00A06289" w:rsidRPr="00D404E1" w:rsidRDefault="00F34DAB" w:rsidP="00F34DAB">
      <w:pPr>
        <w:pStyle w:val="ListParagraph"/>
        <w:rPr>
          <w:rFonts w:ascii="Arial" w:hAnsi="Arial" w:cs="Arial"/>
          <w:bCs/>
          <w:u w:val="single"/>
        </w:rPr>
      </w:pPr>
      <w:r w:rsidRPr="00D404E1">
        <w:rPr>
          <w:rFonts w:ascii="Arial" w:hAnsi="Arial" w:cs="Arial"/>
          <w:b/>
          <w:bCs/>
          <w:u w:val="single"/>
        </w:rPr>
        <w:t xml:space="preserve">2016/17 </w:t>
      </w:r>
      <w:r w:rsidR="003C57D0" w:rsidRPr="00D404E1">
        <w:rPr>
          <w:rFonts w:ascii="Arial" w:hAnsi="Arial" w:cs="Arial"/>
          <w:b/>
          <w:bCs/>
          <w:u w:val="single"/>
        </w:rPr>
        <w:t>Contract Negotiations</w:t>
      </w:r>
      <w:r w:rsidR="00D253CF" w:rsidRPr="00D404E1">
        <w:rPr>
          <w:rFonts w:ascii="Arial" w:hAnsi="Arial" w:cs="Arial"/>
          <w:bCs/>
          <w:u w:val="single"/>
        </w:rPr>
        <w:br/>
      </w:r>
    </w:p>
    <w:p w:rsidR="00F34DAB" w:rsidRDefault="00A1275B" w:rsidP="00DE701F">
      <w:pPr>
        <w:pStyle w:val="ListParagraph"/>
        <w:rPr>
          <w:rFonts w:ascii="Arial" w:hAnsi="Arial" w:cs="Arial"/>
          <w:bCs/>
        </w:rPr>
      </w:pPr>
      <w:r>
        <w:rPr>
          <w:rFonts w:ascii="Arial" w:hAnsi="Arial" w:cs="Arial"/>
          <w:bCs/>
        </w:rPr>
        <w:t xml:space="preserve">The CCG will be starting to </w:t>
      </w:r>
      <w:r w:rsidR="00DE701F">
        <w:rPr>
          <w:rFonts w:ascii="Arial" w:hAnsi="Arial" w:cs="Arial"/>
          <w:bCs/>
        </w:rPr>
        <w:t>negotiate</w:t>
      </w:r>
      <w:r>
        <w:rPr>
          <w:rFonts w:ascii="Arial" w:hAnsi="Arial" w:cs="Arial"/>
          <w:bCs/>
        </w:rPr>
        <w:t xml:space="preserve"> its main NHS contracts for</w:t>
      </w:r>
      <w:r w:rsidR="00F34DAB">
        <w:rPr>
          <w:rFonts w:ascii="Arial" w:hAnsi="Arial" w:cs="Arial"/>
          <w:bCs/>
        </w:rPr>
        <w:t xml:space="preserve"> the contract round 2016/2017</w:t>
      </w:r>
      <w:r>
        <w:rPr>
          <w:rFonts w:ascii="Arial" w:hAnsi="Arial" w:cs="Arial"/>
          <w:bCs/>
        </w:rPr>
        <w:t xml:space="preserve"> this month. </w:t>
      </w:r>
    </w:p>
    <w:p w:rsidR="00F34DAB" w:rsidRDefault="00F34DAB" w:rsidP="00DE701F">
      <w:pPr>
        <w:pStyle w:val="ListParagraph"/>
        <w:rPr>
          <w:rFonts w:ascii="Arial" w:hAnsi="Arial" w:cs="Arial"/>
          <w:bCs/>
        </w:rPr>
      </w:pPr>
    </w:p>
    <w:p w:rsidR="00A1275B" w:rsidRDefault="00A1275B" w:rsidP="00DE701F">
      <w:pPr>
        <w:pStyle w:val="ListParagraph"/>
        <w:rPr>
          <w:rFonts w:ascii="Arial" w:hAnsi="Arial" w:cs="Arial"/>
          <w:bCs/>
        </w:rPr>
      </w:pPr>
      <w:r>
        <w:rPr>
          <w:rFonts w:ascii="Arial" w:hAnsi="Arial" w:cs="Arial"/>
          <w:bCs/>
        </w:rPr>
        <w:t>The CCG working with NL CCG and providers locally under Healthy Lives Healthy Futures (HLHF)</w:t>
      </w:r>
      <w:r w:rsidR="00F34DAB">
        <w:rPr>
          <w:rFonts w:ascii="Arial" w:hAnsi="Arial" w:cs="Arial"/>
          <w:bCs/>
        </w:rPr>
        <w:t xml:space="preserve"> have already started to </w:t>
      </w:r>
      <w:r>
        <w:rPr>
          <w:rFonts w:ascii="Arial" w:hAnsi="Arial" w:cs="Arial"/>
          <w:bCs/>
        </w:rPr>
        <w:t>model and plan activity</w:t>
      </w:r>
      <w:r w:rsidR="00F34DAB">
        <w:rPr>
          <w:rFonts w:ascii="Arial" w:hAnsi="Arial" w:cs="Arial"/>
          <w:bCs/>
        </w:rPr>
        <w:t xml:space="preserve"> requirements</w:t>
      </w:r>
      <w:r>
        <w:rPr>
          <w:rFonts w:ascii="Arial" w:hAnsi="Arial" w:cs="Arial"/>
          <w:bCs/>
        </w:rPr>
        <w:t xml:space="preserve"> and se</w:t>
      </w:r>
      <w:r w:rsidR="00F34DAB">
        <w:rPr>
          <w:rFonts w:ascii="Arial" w:hAnsi="Arial" w:cs="Arial"/>
          <w:bCs/>
        </w:rPr>
        <w:t>rvices for the forthcoming years</w:t>
      </w:r>
      <w:r>
        <w:rPr>
          <w:rFonts w:ascii="Arial" w:hAnsi="Arial" w:cs="Arial"/>
          <w:bCs/>
        </w:rPr>
        <w:t xml:space="preserve">. </w:t>
      </w:r>
      <w:r w:rsidR="00DE701F">
        <w:rPr>
          <w:rFonts w:ascii="Arial" w:hAnsi="Arial" w:cs="Arial"/>
          <w:bCs/>
        </w:rPr>
        <w:t>The timetable for completion is consistent with last year, expecting all NHS Contracts to be signed by 31</w:t>
      </w:r>
      <w:r w:rsidR="00DE701F" w:rsidRPr="00DE701F">
        <w:rPr>
          <w:rFonts w:ascii="Arial" w:hAnsi="Arial" w:cs="Arial"/>
          <w:bCs/>
          <w:vertAlign w:val="superscript"/>
        </w:rPr>
        <w:t>st</w:t>
      </w:r>
      <w:r w:rsidR="00DE701F">
        <w:rPr>
          <w:rFonts w:ascii="Arial" w:hAnsi="Arial" w:cs="Arial"/>
          <w:bCs/>
        </w:rPr>
        <w:t xml:space="preserve"> March 2016.</w:t>
      </w:r>
    </w:p>
    <w:p w:rsidR="003F07D6" w:rsidRDefault="003F07D6" w:rsidP="00DE701F">
      <w:pPr>
        <w:pStyle w:val="ListParagraph"/>
        <w:rPr>
          <w:rFonts w:ascii="Arial" w:hAnsi="Arial" w:cs="Arial"/>
          <w:bCs/>
        </w:rPr>
      </w:pPr>
    </w:p>
    <w:p w:rsidR="003F07D6" w:rsidRPr="00A1275B" w:rsidRDefault="003F07D6" w:rsidP="00DE701F">
      <w:pPr>
        <w:pStyle w:val="ListParagraph"/>
        <w:rPr>
          <w:rFonts w:ascii="Arial" w:hAnsi="Arial" w:cs="Arial"/>
          <w:bCs/>
        </w:rPr>
      </w:pPr>
      <w:r>
        <w:rPr>
          <w:rFonts w:ascii="Arial" w:hAnsi="Arial" w:cs="Arial"/>
          <w:bCs/>
        </w:rPr>
        <w:t xml:space="preserve">Wider contracts with Hull &amp; East Yorkshire Hospitals, East Midlands Ambulance and other smaller NHS Contracts will be negotiated </w:t>
      </w:r>
      <w:r w:rsidR="00F34DAB">
        <w:rPr>
          <w:rFonts w:ascii="Arial" w:hAnsi="Arial" w:cs="Arial"/>
          <w:bCs/>
        </w:rPr>
        <w:t>through the CCGs existing lead and associate arrangements</w:t>
      </w:r>
      <w:r>
        <w:rPr>
          <w:rFonts w:ascii="Arial" w:hAnsi="Arial" w:cs="Arial"/>
          <w:bCs/>
        </w:rPr>
        <w:t>.</w:t>
      </w:r>
    </w:p>
    <w:p w:rsidR="00D253CF" w:rsidRPr="00A06289" w:rsidRDefault="00D253CF" w:rsidP="00A06289">
      <w:pPr>
        <w:ind w:left="360"/>
        <w:rPr>
          <w:rFonts w:ascii="Arial" w:hAnsi="Arial" w:cs="Arial"/>
          <w:bCs/>
        </w:rPr>
      </w:pPr>
    </w:p>
    <w:p w:rsidR="008C64A8" w:rsidRPr="00F34DAB" w:rsidRDefault="008C64A8" w:rsidP="00F34DAB">
      <w:pPr>
        <w:rPr>
          <w:rFonts w:ascii="Arial" w:hAnsi="Arial" w:cs="Arial"/>
          <w:bCs/>
        </w:rPr>
      </w:pPr>
    </w:p>
    <w:p w:rsidR="00334F23" w:rsidRPr="00334F23" w:rsidRDefault="00334F23" w:rsidP="00334F23">
      <w:pPr>
        <w:pStyle w:val="ListParagraph"/>
        <w:rPr>
          <w:rFonts w:ascii="Arial" w:hAnsi="Arial" w:cs="Arial"/>
          <w:bCs/>
        </w:rPr>
      </w:pPr>
    </w:p>
    <w:p w:rsidR="00B01792" w:rsidRPr="00DE0846" w:rsidRDefault="00B01792" w:rsidP="00B01792">
      <w:pPr>
        <w:rPr>
          <w:rFonts w:ascii="Arial" w:hAnsi="Arial" w:cs="Arial"/>
          <w:bCs/>
        </w:rPr>
      </w:pPr>
    </w:p>
    <w:p w:rsidR="003C57D0" w:rsidRDefault="003C57D0" w:rsidP="003C57D0">
      <w:pPr>
        <w:rPr>
          <w:rFonts w:ascii="Arial" w:hAnsi="Arial" w:cs="Arial"/>
          <w:bCs/>
        </w:rPr>
      </w:pPr>
    </w:p>
    <w:p w:rsidR="003C57D0" w:rsidRPr="003C57D0" w:rsidRDefault="003C57D0" w:rsidP="003C57D0">
      <w:pPr>
        <w:rPr>
          <w:rFonts w:ascii="Arial" w:hAnsi="Arial" w:cs="Arial"/>
          <w:bCs/>
        </w:rPr>
      </w:pPr>
    </w:p>
    <w:p w:rsidR="003C57D0" w:rsidRPr="003C57D0" w:rsidRDefault="003C57D0" w:rsidP="003C57D0">
      <w:pPr>
        <w:rPr>
          <w:rFonts w:ascii="Arial" w:hAnsi="Arial" w:cs="Arial"/>
          <w:bCs/>
        </w:rPr>
      </w:pPr>
    </w:p>
    <w:p w:rsidR="003C57D0" w:rsidRPr="003C57D0" w:rsidRDefault="003C57D0" w:rsidP="003C57D0">
      <w:pPr>
        <w:rPr>
          <w:rFonts w:ascii="Arial" w:hAnsi="Arial" w:cs="Arial"/>
          <w:bCs/>
        </w:rPr>
      </w:pPr>
    </w:p>
    <w:tbl>
      <w:tblPr>
        <w:tblW w:w="10125" w:type="dxa"/>
        <w:tblLayout w:type="fixed"/>
        <w:tblLook w:val="01E0" w:firstRow="1" w:lastRow="1" w:firstColumn="1" w:lastColumn="1" w:noHBand="0" w:noVBand="0"/>
      </w:tblPr>
      <w:tblGrid>
        <w:gridCol w:w="10125"/>
      </w:tblGrid>
      <w:tr w:rsidR="00AC0416" w:rsidRPr="00DE0846" w:rsidTr="00B37265">
        <w:tc>
          <w:tcPr>
            <w:tcW w:w="10125" w:type="dxa"/>
            <w:shd w:val="clear" w:color="auto" w:fill="auto"/>
          </w:tcPr>
          <w:p w:rsidR="00AC0416" w:rsidRPr="00DE0846" w:rsidRDefault="00E01CE4" w:rsidP="00AC0416">
            <w:pPr>
              <w:rPr>
                <w:rFonts w:ascii="Calibri" w:hAnsi="Calibri" w:cs="Calibri"/>
              </w:rPr>
            </w:pPr>
            <w:r w:rsidRPr="00DE0846">
              <w:rPr>
                <w:rFonts w:ascii="Calibri" w:hAnsi="Calibri" w:cs="Calibri"/>
              </w:rPr>
              <w:t>Eddie McCabe</w:t>
            </w:r>
          </w:p>
          <w:p w:rsidR="00E01CE4" w:rsidRPr="00DE0846" w:rsidRDefault="003C57D0" w:rsidP="003C57D0">
            <w:pPr>
              <w:rPr>
                <w:rFonts w:ascii="Calibri" w:hAnsi="Calibri" w:cs="Calibri"/>
              </w:rPr>
            </w:pPr>
            <w:r>
              <w:rPr>
                <w:rFonts w:ascii="Calibri" w:hAnsi="Calibri" w:cs="Calibri"/>
              </w:rPr>
              <w:t>January</w:t>
            </w:r>
            <w:r w:rsidR="00A06289">
              <w:rPr>
                <w:rFonts w:ascii="Calibri" w:hAnsi="Calibri" w:cs="Calibri"/>
              </w:rPr>
              <w:t xml:space="preserve"> </w:t>
            </w:r>
            <w:r w:rsidR="00E01CE4" w:rsidRPr="00DE0846">
              <w:rPr>
                <w:rFonts w:ascii="Calibri" w:hAnsi="Calibri" w:cs="Calibri"/>
              </w:rPr>
              <w:t>201</w:t>
            </w:r>
            <w:r>
              <w:rPr>
                <w:rFonts w:ascii="Calibri" w:hAnsi="Calibri" w:cs="Calibri"/>
              </w:rPr>
              <w:t>6</w:t>
            </w:r>
          </w:p>
        </w:tc>
      </w:tr>
      <w:tr w:rsidR="00AC0416" w:rsidRPr="00DE0846" w:rsidTr="00B37265">
        <w:tc>
          <w:tcPr>
            <w:tcW w:w="10125" w:type="dxa"/>
            <w:shd w:val="clear" w:color="auto" w:fill="auto"/>
          </w:tcPr>
          <w:p w:rsidR="00AC0416" w:rsidRPr="00DE0846" w:rsidRDefault="00AC0416" w:rsidP="00522E5B">
            <w:pPr>
              <w:rPr>
                <w:rFonts w:ascii="Calibri" w:hAnsi="Calibri" w:cs="Calibri"/>
              </w:rPr>
            </w:pPr>
          </w:p>
        </w:tc>
      </w:tr>
      <w:tr w:rsidR="00AC0416" w:rsidRPr="00DE0846" w:rsidTr="00B37265">
        <w:tc>
          <w:tcPr>
            <w:tcW w:w="10125" w:type="dxa"/>
            <w:shd w:val="clear" w:color="auto" w:fill="auto"/>
          </w:tcPr>
          <w:p w:rsidR="00AC0416" w:rsidRPr="00DE0846" w:rsidRDefault="00AC0416" w:rsidP="002B2091">
            <w:pPr>
              <w:rPr>
                <w:rFonts w:ascii="Calibri" w:hAnsi="Calibri" w:cs="Calibri"/>
              </w:rPr>
            </w:pPr>
          </w:p>
        </w:tc>
      </w:tr>
      <w:tr w:rsidR="00AC0416" w:rsidRPr="00DE0846" w:rsidTr="00B37265">
        <w:tc>
          <w:tcPr>
            <w:tcW w:w="10125" w:type="dxa"/>
            <w:shd w:val="clear" w:color="auto" w:fill="auto"/>
          </w:tcPr>
          <w:p w:rsidR="00AC0416" w:rsidRPr="00DE0846" w:rsidRDefault="00AC0416" w:rsidP="00AC0416">
            <w:pPr>
              <w:rPr>
                <w:rFonts w:ascii="Calibri" w:hAnsi="Calibri" w:cs="Calibri"/>
                <w:u w:val="single"/>
              </w:rPr>
            </w:pPr>
          </w:p>
        </w:tc>
      </w:tr>
      <w:tr w:rsidR="00AC0416" w:rsidRPr="00DE0846" w:rsidTr="00B37265">
        <w:tc>
          <w:tcPr>
            <w:tcW w:w="10125" w:type="dxa"/>
            <w:shd w:val="clear" w:color="auto" w:fill="auto"/>
          </w:tcPr>
          <w:p w:rsidR="00AC0416" w:rsidRPr="00DE0846" w:rsidRDefault="00AC0416" w:rsidP="00FA7E52">
            <w:pPr>
              <w:jc w:val="both"/>
              <w:rPr>
                <w:rFonts w:ascii="Calibri" w:hAnsi="Calibri" w:cs="Calibri"/>
              </w:rPr>
            </w:pPr>
          </w:p>
        </w:tc>
      </w:tr>
      <w:tr w:rsidR="00AC0416" w:rsidRPr="00DE0846" w:rsidTr="00B37265">
        <w:tc>
          <w:tcPr>
            <w:tcW w:w="10125" w:type="dxa"/>
            <w:shd w:val="clear" w:color="auto" w:fill="auto"/>
          </w:tcPr>
          <w:p w:rsidR="00AC0416" w:rsidRPr="00DE0846" w:rsidRDefault="00AC0416" w:rsidP="002B2091">
            <w:pPr>
              <w:rPr>
                <w:rFonts w:ascii="Calibri" w:hAnsi="Calibri" w:cs="Calibri"/>
              </w:rPr>
            </w:pPr>
          </w:p>
        </w:tc>
      </w:tr>
      <w:tr w:rsidR="00AC0416" w:rsidRPr="00DE0846" w:rsidTr="00B37265">
        <w:tc>
          <w:tcPr>
            <w:tcW w:w="10125" w:type="dxa"/>
            <w:shd w:val="clear" w:color="auto" w:fill="auto"/>
          </w:tcPr>
          <w:p w:rsidR="00AC0416" w:rsidRPr="00DE0846" w:rsidRDefault="00AC0416" w:rsidP="00AC0416">
            <w:pPr>
              <w:rPr>
                <w:rFonts w:ascii="Calibri" w:hAnsi="Calibri" w:cs="Calibri"/>
                <w:u w:val="single"/>
              </w:rPr>
            </w:pPr>
          </w:p>
        </w:tc>
      </w:tr>
      <w:tr w:rsidR="00AC0416" w:rsidRPr="00DE0846" w:rsidTr="00B37265">
        <w:tc>
          <w:tcPr>
            <w:tcW w:w="10125" w:type="dxa"/>
            <w:shd w:val="clear" w:color="auto" w:fill="auto"/>
          </w:tcPr>
          <w:p w:rsidR="00AC0416" w:rsidRPr="00DE0846" w:rsidRDefault="00AC0416" w:rsidP="00B37265">
            <w:pPr>
              <w:jc w:val="both"/>
              <w:rPr>
                <w:rFonts w:ascii="Calibri" w:hAnsi="Calibri" w:cs="Calibri"/>
              </w:rPr>
            </w:pPr>
          </w:p>
        </w:tc>
      </w:tr>
      <w:tr w:rsidR="00AC0416" w:rsidRPr="000D0916" w:rsidTr="00B37265">
        <w:tc>
          <w:tcPr>
            <w:tcW w:w="10125" w:type="dxa"/>
            <w:shd w:val="clear" w:color="auto" w:fill="auto"/>
          </w:tcPr>
          <w:p w:rsidR="00AC0416" w:rsidRPr="000D0916" w:rsidRDefault="00AC0416" w:rsidP="002B2091">
            <w:pPr>
              <w:rPr>
                <w:rFonts w:ascii="Calibri" w:hAnsi="Calibri" w:cs="Calibri"/>
                <w:b/>
                <w:sz w:val="22"/>
                <w:szCs w:val="22"/>
              </w:rPr>
            </w:pPr>
          </w:p>
        </w:tc>
      </w:tr>
      <w:tr w:rsidR="00AC0416" w:rsidRPr="000D0916" w:rsidTr="00B37265">
        <w:tc>
          <w:tcPr>
            <w:tcW w:w="10125" w:type="dxa"/>
            <w:shd w:val="clear" w:color="auto" w:fill="auto"/>
          </w:tcPr>
          <w:p w:rsidR="00AC0416" w:rsidRPr="00A57479" w:rsidRDefault="00AC0416" w:rsidP="002B2091">
            <w:pPr>
              <w:rPr>
                <w:rFonts w:ascii="Calibri" w:hAnsi="Calibri" w:cs="Calibri"/>
                <w:sz w:val="22"/>
                <w:szCs w:val="22"/>
                <w:u w:val="single"/>
              </w:rPr>
            </w:pPr>
          </w:p>
        </w:tc>
      </w:tr>
      <w:tr w:rsidR="00AC0416" w:rsidRPr="00864F1B" w:rsidTr="00B37265">
        <w:tc>
          <w:tcPr>
            <w:tcW w:w="10125" w:type="dxa"/>
            <w:shd w:val="clear" w:color="auto" w:fill="auto"/>
          </w:tcPr>
          <w:p w:rsidR="00AC0416" w:rsidRPr="00864F1B" w:rsidRDefault="00AC0416" w:rsidP="00B37265">
            <w:pPr>
              <w:jc w:val="both"/>
              <w:rPr>
                <w:rFonts w:ascii="Calibri" w:hAnsi="Calibri" w:cs="Calibri"/>
                <w:sz w:val="22"/>
                <w:szCs w:val="22"/>
              </w:rPr>
            </w:pPr>
          </w:p>
        </w:tc>
      </w:tr>
      <w:tr w:rsidR="00AC0416" w:rsidRPr="00443A20" w:rsidTr="00B37265">
        <w:tc>
          <w:tcPr>
            <w:tcW w:w="10125" w:type="dxa"/>
            <w:shd w:val="clear" w:color="auto" w:fill="auto"/>
          </w:tcPr>
          <w:p w:rsidR="00AC0416" w:rsidRPr="00443A20" w:rsidRDefault="00AC0416" w:rsidP="002B2091">
            <w:pPr>
              <w:rPr>
                <w:rFonts w:ascii="Calibri" w:hAnsi="Calibri" w:cs="Calibri"/>
                <w:b/>
                <w:sz w:val="22"/>
                <w:szCs w:val="22"/>
              </w:rPr>
            </w:pPr>
          </w:p>
        </w:tc>
      </w:tr>
      <w:tr w:rsidR="00AC0416" w:rsidRPr="00443A20" w:rsidTr="00B37265">
        <w:tc>
          <w:tcPr>
            <w:tcW w:w="10125" w:type="dxa"/>
            <w:shd w:val="clear" w:color="auto" w:fill="auto"/>
          </w:tcPr>
          <w:p w:rsidR="00AC0416" w:rsidRPr="00A57479" w:rsidRDefault="00AC0416" w:rsidP="002B2091">
            <w:pPr>
              <w:rPr>
                <w:rFonts w:ascii="Calibri" w:hAnsi="Calibri" w:cs="Calibri"/>
                <w:sz w:val="22"/>
                <w:szCs w:val="22"/>
                <w:u w:val="single"/>
              </w:rPr>
            </w:pPr>
          </w:p>
        </w:tc>
      </w:tr>
      <w:tr w:rsidR="00AC0416" w:rsidRPr="005A2F09" w:rsidTr="00B37265">
        <w:tc>
          <w:tcPr>
            <w:tcW w:w="10125" w:type="dxa"/>
            <w:shd w:val="clear" w:color="auto" w:fill="auto"/>
          </w:tcPr>
          <w:p w:rsidR="0009122D" w:rsidRPr="005A2F09" w:rsidRDefault="0009122D" w:rsidP="00B37265">
            <w:pPr>
              <w:jc w:val="both"/>
              <w:rPr>
                <w:rFonts w:ascii="Calibri" w:hAnsi="Calibri" w:cs="Calibri"/>
                <w:sz w:val="22"/>
                <w:szCs w:val="22"/>
              </w:rPr>
            </w:pPr>
          </w:p>
        </w:tc>
      </w:tr>
      <w:tr w:rsidR="00AC0416" w:rsidTr="00B37265">
        <w:tc>
          <w:tcPr>
            <w:tcW w:w="10125" w:type="dxa"/>
            <w:shd w:val="clear" w:color="auto" w:fill="auto"/>
          </w:tcPr>
          <w:p w:rsidR="00AC0416" w:rsidRDefault="00AC0416" w:rsidP="002B2091">
            <w:pPr>
              <w:rPr>
                <w:rFonts w:ascii="Calibri" w:hAnsi="Calibri" w:cs="Calibri"/>
                <w:b/>
                <w:sz w:val="22"/>
                <w:szCs w:val="22"/>
              </w:rPr>
            </w:pPr>
          </w:p>
        </w:tc>
      </w:tr>
      <w:tr w:rsidR="00AC0416" w:rsidRPr="00C1504D" w:rsidTr="00B37265">
        <w:tc>
          <w:tcPr>
            <w:tcW w:w="10125" w:type="dxa"/>
            <w:shd w:val="clear" w:color="auto" w:fill="auto"/>
          </w:tcPr>
          <w:p w:rsidR="00AC0416" w:rsidRPr="00F27279" w:rsidRDefault="00AC0416" w:rsidP="002B2091">
            <w:pPr>
              <w:rPr>
                <w:rFonts w:ascii="Calibri" w:hAnsi="Calibri" w:cs="Calibri"/>
                <w:color w:val="000000"/>
                <w:sz w:val="22"/>
                <w:szCs w:val="22"/>
                <w:u w:val="single"/>
              </w:rPr>
            </w:pPr>
          </w:p>
        </w:tc>
      </w:tr>
      <w:tr w:rsidR="00AC0416" w:rsidRPr="00E91F4C" w:rsidTr="00B37265">
        <w:tc>
          <w:tcPr>
            <w:tcW w:w="10125" w:type="dxa"/>
            <w:shd w:val="clear" w:color="auto" w:fill="auto"/>
          </w:tcPr>
          <w:p w:rsidR="003E5157" w:rsidRPr="00E91F4C" w:rsidRDefault="003E5157" w:rsidP="003E5157">
            <w:pPr>
              <w:rPr>
                <w:rFonts w:ascii="Calibri" w:hAnsi="Calibri" w:cs="Calibri"/>
                <w:sz w:val="22"/>
                <w:szCs w:val="22"/>
              </w:rPr>
            </w:pPr>
          </w:p>
        </w:tc>
      </w:tr>
    </w:tbl>
    <w:p w:rsidR="00805F65" w:rsidRPr="00F34767" w:rsidRDefault="00805F65" w:rsidP="00F27279">
      <w:pPr>
        <w:rPr>
          <w:rFonts w:ascii="Arial" w:hAnsi="Arial" w:cs="Arial"/>
          <w:bCs/>
          <w:sz w:val="20"/>
          <w:szCs w:val="20"/>
        </w:rPr>
      </w:pP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D5" w:rsidRDefault="00CF53D5">
      <w:r>
        <w:separator/>
      </w:r>
    </w:p>
  </w:endnote>
  <w:endnote w:type="continuationSeparator" w:id="0">
    <w:p w:rsidR="00CF53D5" w:rsidRDefault="00CF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D5" w:rsidRDefault="00CF53D5">
      <w:r>
        <w:separator/>
      </w:r>
    </w:p>
  </w:footnote>
  <w:footnote w:type="continuationSeparator" w:id="0">
    <w:p w:rsidR="00CF53D5" w:rsidRDefault="00CF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3">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97B77"/>
    <w:multiLevelType w:val="hybridMultilevel"/>
    <w:tmpl w:val="B044B2B6"/>
    <w:lvl w:ilvl="0" w:tplc="819253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4">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7">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D903D8"/>
    <w:multiLevelType w:val="hybridMultilevel"/>
    <w:tmpl w:val="C8307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6A6117"/>
    <w:multiLevelType w:val="hybridMultilevel"/>
    <w:tmpl w:val="FD8A49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0"/>
  </w:num>
  <w:num w:numId="4">
    <w:abstractNumId w:val="36"/>
  </w:num>
  <w:num w:numId="5">
    <w:abstractNumId w:val="24"/>
  </w:num>
  <w:num w:numId="6">
    <w:abstractNumId w:val="31"/>
  </w:num>
  <w:num w:numId="7">
    <w:abstractNumId w:val="5"/>
  </w:num>
  <w:num w:numId="8">
    <w:abstractNumId w:val="23"/>
  </w:num>
  <w:num w:numId="9">
    <w:abstractNumId w:val="26"/>
  </w:num>
  <w:num w:numId="10">
    <w:abstractNumId w:val="7"/>
  </w:num>
  <w:num w:numId="11">
    <w:abstractNumId w:val="14"/>
  </w:num>
  <w:num w:numId="12">
    <w:abstractNumId w:val="29"/>
  </w:num>
  <w:num w:numId="13">
    <w:abstractNumId w:val="20"/>
  </w:num>
  <w:num w:numId="14">
    <w:abstractNumId w:val="2"/>
  </w:num>
  <w:num w:numId="15">
    <w:abstractNumId w:val="22"/>
  </w:num>
  <w:num w:numId="16">
    <w:abstractNumId w:val="15"/>
  </w:num>
  <w:num w:numId="17">
    <w:abstractNumId w:val="25"/>
  </w:num>
  <w:num w:numId="18">
    <w:abstractNumId w:val="21"/>
  </w:num>
  <w:num w:numId="19">
    <w:abstractNumId w:val="32"/>
  </w:num>
  <w:num w:numId="20">
    <w:abstractNumId w:val="12"/>
  </w:num>
  <w:num w:numId="21">
    <w:abstractNumId w:val="9"/>
  </w:num>
  <w:num w:numId="22">
    <w:abstractNumId w:val="17"/>
  </w:num>
  <w:num w:numId="23">
    <w:abstractNumId w:val="6"/>
  </w:num>
  <w:num w:numId="24">
    <w:abstractNumId w:val="1"/>
  </w:num>
  <w:num w:numId="25">
    <w:abstractNumId w:val="30"/>
  </w:num>
  <w:num w:numId="26">
    <w:abstractNumId w:val="10"/>
  </w:num>
  <w:num w:numId="27">
    <w:abstractNumId w:val="13"/>
  </w:num>
  <w:num w:numId="28">
    <w:abstractNumId w:val="27"/>
  </w:num>
  <w:num w:numId="29">
    <w:abstractNumId w:val="33"/>
  </w:num>
  <w:num w:numId="30">
    <w:abstractNumId w:val="11"/>
  </w:num>
  <w:num w:numId="31">
    <w:abstractNumId w:val="38"/>
  </w:num>
  <w:num w:numId="32">
    <w:abstractNumId w:val="8"/>
  </w:num>
  <w:num w:numId="33">
    <w:abstractNumId w:val="34"/>
  </w:num>
  <w:num w:numId="34">
    <w:abstractNumId w:val="19"/>
  </w:num>
  <w:num w:numId="35">
    <w:abstractNumId w:val="16"/>
  </w:num>
  <w:num w:numId="36">
    <w:abstractNumId w:val="3"/>
  </w:num>
  <w:num w:numId="37">
    <w:abstractNumId w:val="35"/>
  </w:num>
  <w:num w:numId="38">
    <w:abstractNumId w:val="18"/>
  </w:num>
  <w:num w:numId="3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3AC5"/>
    <w:rsid w:val="00086901"/>
    <w:rsid w:val="0009122D"/>
    <w:rsid w:val="00091E11"/>
    <w:rsid w:val="000920DD"/>
    <w:rsid w:val="00092A27"/>
    <w:rsid w:val="00095E6B"/>
    <w:rsid w:val="000B1D82"/>
    <w:rsid w:val="000B1EEB"/>
    <w:rsid w:val="000B3544"/>
    <w:rsid w:val="000B4521"/>
    <w:rsid w:val="000C13F4"/>
    <w:rsid w:val="000C440F"/>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54C4"/>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E0FE3"/>
    <w:rsid w:val="002E26B9"/>
    <w:rsid w:val="002E7820"/>
    <w:rsid w:val="002F445D"/>
    <w:rsid w:val="002F47B6"/>
    <w:rsid w:val="00301655"/>
    <w:rsid w:val="00303B76"/>
    <w:rsid w:val="00312796"/>
    <w:rsid w:val="00316D7E"/>
    <w:rsid w:val="003225BA"/>
    <w:rsid w:val="00326AB8"/>
    <w:rsid w:val="00334F23"/>
    <w:rsid w:val="0034307E"/>
    <w:rsid w:val="00363C1F"/>
    <w:rsid w:val="0036628F"/>
    <w:rsid w:val="00366F7D"/>
    <w:rsid w:val="00380FCF"/>
    <w:rsid w:val="00384979"/>
    <w:rsid w:val="00394F30"/>
    <w:rsid w:val="003A03CB"/>
    <w:rsid w:val="003B0A06"/>
    <w:rsid w:val="003B299C"/>
    <w:rsid w:val="003B626C"/>
    <w:rsid w:val="003C57D0"/>
    <w:rsid w:val="003C6569"/>
    <w:rsid w:val="003D2887"/>
    <w:rsid w:val="003D3E08"/>
    <w:rsid w:val="003D489F"/>
    <w:rsid w:val="003E4361"/>
    <w:rsid w:val="003E5157"/>
    <w:rsid w:val="003F07D6"/>
    <w:rsid w:val="003F6D7A"/>
    <w:rsid w:val="003F6DF9"/>
    <w:rsid w:val="00406064"/>
    <w:rsid w:val="00420D54"/>
    <w:rsid w:val="00423F06"/>
    <w:rsid w:val="004266AA"/>
    <w:rsid w:val="00427EC0"/>
    <w:rsid w:val="0043321C"/>
    <w:rsid w:val="004337A4"/>
    <w:rsid w:val="00434363"/>
    <w:rsid w:val="0043664F"/>
    <w:rsid w:val="00441E7A"/>
    <w:rsid w:val="00444DFB"/>
    <w:rsid w:val="00447394"/>
    <w:rsid w:val="00450490"/>
    <w:rsid w:val="00454EA5"/>
    <w:rsid w:val="00456662"/>
    <w:rsid w:val="00457AAE"/>
    <w:rsid w:val="00462810"/>
    <w:rsid w:val="00464A6D"/>
    <w:rsid w:val="00466602"/>
    <w:rsid w:val="00470C33"/>
    <w:rsid w:val="004756D3"/>
    <w:rsid w:val="00481C54"/>
    <w:rsid w:val="004822A5"/>
    <w:rsid w:val="00490D15"/>
    <w:rsid w:val="004A5EE0"/>
    <w:rsid w:val="004A75B1"/>
    <w:rsid w:val="004B29A9"/>
    <w:rsid w:val="004B4F56"/>
    <w:rsid w:val="004C5FA2"/>
    <w:rsid w:val="004C677C"/>
    <w:rsid w:val="004C6F5C"/>
    <w:rsid w:val="004D0321"/>
    <w:rsid w:val="004D3D82"/>
    <w:rsid w:val="004D7118"/>
    <w:rsid w:val="004E7A80"/>
    <w:rsid w:val="004F2E71"/>
    <w:rsid w:val="004F3209"/>
    <w:rsid w:val="004F64DF"/>
    <w:rsid w:val="004F7E52"/>
    <w:rsid w:val="005109BE"/>
    <w:rsid w:val="00517C3A"/>
    <w:rsid w:val="00522E5B"/>
    <w:rsid w:val="0052360E"/>
    <w:rsid w:val="00532C2C"/>
    <w:rsid w:val="00541F74"/>
    <w:rsid w:val="005460DB"/>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E01FA"/>
    <w:rsid w:val="005F0C84"/>
    <w:rsid w:val="005F11AA"/>
    <w:rsid w:val="005F195A"/>
    <w:rsid w:val="0060216B"/>
    <w:rsid w:val="00604967"/>
    <w:rsid w:val="00607C7F"/>
    <w:rsid w:val="006203A2"/>
    <w:rsid w:val="00625124"/>
    <w:rsid w:val="00633EDD"/>
    <w:rsid w:val="006468ED"/>
    <w:rsid w:val="006569A3"/>
    <w:rsid w:val="00657CC2"/>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0DE2"/>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A5"/>
    <w:rsid w:val="00882C25"/>
    <w:rsid w:val="00883C59"/>
    <w:rsid w:val="008851F8"/>
    <w:rsid w:val="00891846"/>
    <w:rsid w:val="00891EDC"/>
    <w:rsid w:val="0089366A"/>
    <w:rsid w:val="008A57B4"/>
    <w:rsid w:val="008C6467"/>
    <w:rsid w:val="008C64A8"/>
    <w:rsid w:val="008C70FB"/>
    <w:rsid w:val="008D12EA"/>
    <w:rsid w:val="008D6A39"/>
    <w:rsid w:val="008E206C"/>
    <w:rsid w:val="008F140F"/>
    <w:rsid w:val="008F677B"/>
    <w:rsid w:val="00905151"/>
    <w:rsid w:val="00907378"/>
    <w:rsid w:val="009119AD"/>
    <w:rsid w:val="0091688E"/>
    <w:rsid w:val="00920543"/>
    <w:rsid w:val="0092255D"/>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3A97"/>
    <w:rsid w:val="00A06289"/>
    <w:rsid w:val="00A07A07"/>
    <w:rsid w:val="00A1183A"/>
    <w:rsid w:val="00A1275B"/>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DDB"/>
    <w:rsid w:val="00B01792"/>
    <w:rsid w:val="00B02EF5"/>
    <w:rsid w:val="00B11802"/>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E18C0"/>
    <w:rsid w:val="00CF17D1"/>
    <w:rsid w:val="00CF258F"/>
    <w:rsid w:val="00CF53D5"/>
    <w:rsid w:val="00CF5F75"/>
    <w:rsid w:val="00D00EFA"/>
    <w:rsid w:val="00D15A2C"/>
    <w:rsid w:val="00D25017"/>
    <w:rsid w:val="00D253CF"/>
    <w:rsid w:val="00D3494B"/>
    <w:rsid w:val="00D35D4A"/>
    <w:rsid w:val="00D404E1"/>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0846"/>
    <w:rsid w:val="00DE6E0E"/>
    <w:rsid w:val="00DE701F"/>
    <w:rsid w:val="00DF00F8"/>
    <w:rsid w:val="00DF3185"/>
    <w:rsid w:val="00DF3E42"/>
    <w:rsid w:val="00E01CE4"/>
    <w:rsid w:val="00E135D3"/>
    <w:rsid w:val="00E24870"/>
    <w:rsid w:val="00E2557D"/>
    <w:rsid w:val="00E320A8"/>
    <w:rsid w:val="00E43FD9"/>
    <w:rsid w:val="00E46EFA"/>
    <w:rsid w:val="00E47C0B"/>
    <w:rsid w:val="00E5159C"/>
    <w:rsid w:val="00E538AF"/>
    <w:rsid w:val="00E5472C"/>
    <w:rsid w:val="00E550FE"/>
    <w:rsid w:val="00E617F9"/>
    <w:rsid w:val="00E67668"/>
    <w:rsid w:val="00E721C8"/>
    <w:rsid w:val="00E7471C"/>
    <w:rsid w:val="00E75A46"/>
    <w:rsid w:val="00E807B2"/>
    <w:rsid w:val="00E857C3"/>
    <w:rsid w:val="00E863C2"/>
    <w:rsid w:val="00E921F2"/>
    <w:rsid w:val="00E94BFF"/>
    <w:rsid w:val="00E96028"/>
    <w:rsid w:val="00E9685C"/>
    <w:rsid w:val="00EA1089"/>
    <w:rsid w:val="00EA285F"/>
    <w:rsid w:val="00EB4238"/>
    <w:rsid w:val="00EB6E0A"/>
    <w:rsid w:val="00EC03DC"/>
    <w:rsid w:val="00EC6A3B"/>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4DAB"/>
    <w:rsid w:val="00F35EA9"/>
    <w:rsid w:val="00F3716D"/>
    <w:rsid w:val="00F37D18"/>
    <w:rsid w:val="00F40B1F"/>
    <w:rsid w:val="00F45C7E"/>
    <w:rsid w:val="00F51B57"/>
    <w:rsid w:val="00F524C7"/>
    <w:rsid w:val="00F55731"/>
    <w:rsid w:val="00F55EFB"/>
    <w:rsid w:val="00F6631C"/>
    <w:rsid w:val="00F768A3"/>
    <w:rsid w:val="00F76D30"/>
    <w:rsid w:val="00F80178"/>
    <w:rsid w:val="00F85FD3"/>
    <w:rsid w:val="00F906E5"/>
    <w:rsid w:val="00F9086D"/>
    <w:rsid w:val="00F9292B"/>
    <w:rsid w:val="00F971CA"/>
    <w:rsid w:val="00F979D8"/>
    <w:rsid w:val="00FA3BC7"/>
    <w:rsid w:val="00FA6C46"/>
    <w:rsid w:val="00FA7E52"/>
    <w:rsid w:val="00FB10F2"/>
    <w:rsid w:val="00FB193C"/>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 w:val="00FE6670"/>
    <w:rsid w:val="00FF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3137-D4AC-43F6-81A2-29B33A9E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5890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2015-11-03T10:39:00Z</cp:lastPrinted>
  <dcterms:created xsi:type="dcterms:W3CDTF">2016-01-08T08:50:00Z</dcterms:created>
  <dcterms:modified xsi:type="dcterms:W3CDTF">2016-01-08T08:50:00Z</dcterms:modified>
</cp:coreProperties>
</file>