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1C5764">
                              <w:rPr>
                                <w:rFonts w:ascii="Calibri" w:hAnsi="Calibri"/>
                                <w:b/>
                                <w:sz w:val="22"/>
                                <w:szCs w:val="22"/>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1C5764">
                        <w:rPr>
                          <w:rFonts w:ascii="Calibri" w:hAnsi="Calibri"/>
                          <w:b/>
                          <w:sz w:val="22"/>
                          <w:szCs w:val="22"/>
                        </w:rPr>
                        <w:t xml:space="preserve"> 14</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172A75">
                              <w:rPr>
                                <w:rFonts w:ascii="Calibri" w:hAnsi="Calibri"/>
                                <w:sz w:val="22"/>
                                <w:szCs w:val="22"/>
                              </w:rPr>
                              <w:tab/>
                            </w:r>
                            <w:r w:rsidR="00172A75">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72A75">
                              <w:rPr>
                                <w:rFonts w:ascii="Calibri" w:hAnsi="Calibri"/>
                                <w:sz w:val="22"/>
                                <w:szCs w:val="22"/>
                              </w:rPr>
                              <w:tab/>
                            </w:r>
                            <w:r w:rsidR="00035AD7">
                              <w:rPr>
                                <w:rFonts w:ascii="Calibri" w:hAnsi="Calibri"/>
                                <w:sz w:val="22"/>
                                <w:szCs w:val="22"/>
                              </w:rPr>
                              <w:t>13</w:t>
                            </w:r>
                            <w:r w:rsidR="00172A75">
                              <w:rPr>
                                <w:rFonts w:ascii="Calibri" w:hAnsi="Calibri"/>
                                <w:sz w:val="22"/>
                                <w:szCs w:val="22"/>
                              </w:rPr>
                              <w:t xml:space="preserve"> </w:t>
                            </w:r>
                            <w:r w:rsidR="00035AD7">
                              <w:rPr>
                                <w:rFonts w:ascii="Calibri" w:hAnsi="Calibri"/>
                                <w:sz w:val="22"/>
                                <w:szCs w:val="22"/>
                              </w:rPr>
                              <w:t>June</w:t>
                            </w:r>
                            <w:r w:rsidR="00172A75">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72A75">
                              <w:rPr>
                                <w:rFonts w:ascii="Calibri" w:hAnsi="Calibri"/>
                                <w:sz w:val="22"/>
                                <w:szCs w:val="22"/>
                              </w:rPr>
                              <w:tab/>
                            </w:r>
                            <w:r w:rsidR="00172A75">
                              <w:rPr>
                                <w:rFonts w:ascii="Calibri" w:hAnsi="Calibri"/>
                                <w:sz w:val="22"/>
                                <w:szCs w:val="22"/>
                              </w:rPr>
                              <w:tab/>
                            </w:r>
                            <w:r w:rsidR="00172A75">
                              <w:rPr>
                                <w:rFonts w:ascii="Calibri" w:hAnsi="Calibri"/>
                                <w:sz w:val="22"/>
                                <w:szCs w:val="22"/>
                              </w:rPr>
                              <w:tab/>
                              <w:t>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72A75">
                              <w:rPr>
                                <w:rFonts w:ascii="Calibri" w:hAnsi="Calibri"/>
                                <w:sz w:val="22"/>
                                <w:szCs w:val="22"/>
                              </w:rPr>
                              <w:tab/>
                            </w:r>
                            <w:r w:rsidR="00172A75">
                              <w:rPr>
                                <w:rFonts w:ascii="Calibri" w:hAnsi="Calibri"/>
                                <w:sz w:val="22"/>
                                <w:szCs w:val="22"/>
                              </w:rPr>
                              <w:tab/>
                              <w:t>Laura Whitton, Chief Finance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172A75">
                        <w:rPr>
                          <w:rFonts w:ascii="Calibri" w:hAnsi="Calibri"/>
                          <w:sz w:val="22"/>
                          <w:szCs w:val="22"/>
                        </w:rPr>
                        <w:tab/>
                      </w:r>
                      <w:r w:rsidR="00172A75">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72A75">
                        <w:rPr>
                          <w:rFonts w:ascii="Calibri" w:hAnsi="Calibri"/>
                          <w:sz w:val="22"/>
                          <w:szCs w:val="22"/>
                        </w:rPr>
                        <w:tab/>
                      </w:r>
                      <w:r w:rsidR="00035AD7">
                        <w:rPr>
                          <w:rFonts w:ascii="Calibri" w:hAnsi="Calibri"/>
                          <w:sz w:val="22"/>
                          <w:szCs w:val="22"/>
                        </w:rPr>
                        <w:t>13</w:t>
                      </w:r>
                      <w:r w:rsidR="00172A75">
                        <w:rPr>
                          <w:rFonts w:ascii="Calibri" w:hAnsi="Calibri"/>
                          <w:sz w:val="22"/>
                          <w:szCs w:val="22"/>
                        </w:rPr>
                        <w:t xml:space="preserve"> </w:t>
                      </w:r>
                      <w:r w:rsidR="00035AD7">
                        <w:rPr>
                          <w:rFonts w:ascii="Calibri" w:hAnsi="Calibri"/>
                          <w:sz w:val="22"/>
                          <w:szCs w:val="22"/>
                        </w:rPr>
                        <w:t>June</w:t>
                      </w:r>
                      <w:r w:rsidR="00172A75">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72A75">
                        <w:rPr>
                          <w:rFonts w:ascii="Calibri" w:hAnsi="Calibri"/>
                          <w:sz w:val="22"/>
                          <w:szCs w:val="22"/>
                        </w:rPr>
                        <w:tab/>
                      </w:r>
                      <w:r w:rsidR="00172A75">
                        <w:rPr>
                          <w:rFonts w:ascii="Calibri" w:hAnsi="Calibri"/>
                          <w:sz w:val="22"/>
                          <w:szCs w:val="22"/>
                        </w:rPr>
                        <w:tab/>
                      </w:r>
                      <w:r w:rsidR="00172A75">
                        <w:rPr>
                          <w:rFonts w:ascii="Calibri" w:hAnsi="Calibri"/>
                          <w:sz w:val="22"/>
                          <w:szCs w:val="22"/>
                        </w:rPr>
                        <w:tab/>
                        <w:t>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72A75">
                        <w:rPr>
                          <w:rFonts w:ascii="Calibri" w:hAnsi="Calibri"/>
                          <w:sz w:val="22"/>
                          <w:szCs w:val="22"/>
                        </w:rPr>
                        <w:tab/>
                      </w:r>
                      <w:r w:rsidR="00172A75">
                        <w:rPr>
                          <w:rFonts w:ascii="Calibri" w:hAnsi="Calibri"/>
                          <w:sz w:val="22"/>
                          <w:szCs w:val="22"/>
                        </w:rPr>
                        <w:tab/>
                        <w:t>Laura Whitton, Chief Finance Officer</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DC041C">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72A7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DC041C">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72A7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617"/>
        <w:gridCol w:w="1898"/>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D276A">
            <w:pPr>
              <w:pStyle w:val="NoSpacing"/>
              <w:rPr>
                <w:rFonts w:cs="Calibri"/>
                <w:b/>
                <w:sz w:val="20"/>
                <w:szCs w:val="20"/>
              </w:rPr>
            </w:pPr>
          </w:p>
        </w:tc>
        <w:tc>
          <w:tcPr>
            <w:tcW w:w="3817" w:type="pct"/>
            <w:gridSpan w:val="2"/>
            <w:shd w:val="clear" w:color="auto" w:fill="auto"/>
          </w:tcPr>
          <w:p w:rsidR="00B17042" w:rsidRDefault="00BD3456" w:rsidP="000D1B0D">
            <w:pPr>
              <w:pStyle w:val="Default"/>
              <w:jc w:val="both"/>
              <w:rPr>
                <w:rFonts w:ascii="Calibri" w:hAnsi="Calibri" w:cs="Calibri"/>
                <w:sz w:val="20"/>
                <w:szCs w:val="20"/>
              </w:rPr>
            </w:pPr>
            <w:r>
              <w:rPr>
                <w:rFonts w:ascii="Calibri" w:hAnsi="Calibri" w:cs="Calibri"/>
                <w:sz w:val="20"/>
                <w:szCs w:val="20"/>
              </w:rPr>
              <w:t>To provide</w:t>
            </w:r>
            <w:r w:rsidR="00763B57">
              <w:rPr>
                <w:rFonts w:ascii="Calibri" w:hAnsi="Calibri" w:cs="Calibri"/>
                <w:sz w:val="20"/>
                <w:szCs w:val="20"/>
              </w:rPr>
              <w:t xml:space="preserve"> an update on the </w:t>
            </w:r>
            <w:r w:rsidR="00B17042">
              <w:rPr>
                <w:rFonts w:ascii="Calibri" w:hAnsi="Calibri" w:cs="Calibri"/>
                <w:sz w:val="20"/>
                <w:szCs w:val="20"/>
              </w:rPr>
              <w:t>:-</w:t>
            </w:r>
          </w:p>
          <w:p w:rsidR="00B17042" w:rsidRDefault="00B17042" w:rsidP="00B17042">
            <w:pPr>
              <w:pStyle w:val="Default"/>
              <w:numPr>
                <w:ilvl w:val="0"/>
                <w:numId w:val="12"/>
              </w:numPr>
              <w:jc w:val="both"/>
              <w:rPr>
                <w:rFonts w:ascii="Calibri" w:hAnsi="Calibri" w:cs="Calibri"/>
                <w:sz w:val="20"/>
                <w:szCs w:val="20"/>
              </w:rPr>
            </w:pPr>
            <w:r>
              <w:rPr>
                <w:rFonts w:ascii="Calibri" w:hAnsi="Calibri" w:cs="Calibri"/>
                <w:sz w:val="20"/>
                <w:szCs w:val="20"/>
              </w:rPr>
              <w:t>final 2018/19 year end position, including the outturn on QIPP</w:t>
            </w:r>
          </w:p>
          <w:p w:rsidR="00B17042" w:rsidRPr="00B17042" w:rsidRDefault="00763B57" w:rsidP="005641D8">
            <w:pPr>
              <w:pStyle w:val="Default"/>
              <w:numPr>
                <w:ilvl w:val="0"/>
                <w:numId w:val="12"/>
              </w:numPr>
              <w:jc w:val="both"/>
              <w:rPr>
                <w:rFonts w:ascii="Calibri" w:hAnsi="Calibri" w:cs="Calibri"/>
                <w:sz w:val="20"/>
                <w:szCs w:val="20"/>
              </w:rPr>
            </w:pPr>
            <w:r>
              <w:rPr>
                <w:rFonts w:ascii="Calibri" w:hAnsi="Calibri" w:cs="Calibri"/>
                <w:sz w:val="20"/>
                <w:szCs w:val="20"/>
              </w:rPr>
              <w:t xml:space="preserve">budgets for </w:t>
            </w:r>
            <w:r w:rsidR="00B17042" w:rsidRPr="00B17042">
              <w:rPr>
                <w:rFonts w:ascii="Calibri" w:hAnsi="Calibri" w:cs="Calibri"/>
                <w:sz w:val="20"/>
                <w:szCs w:val="20"/>
              </w:rPr>
              <w:t xml:space="preserve">2019/20, in particular in relation to any changes resulting from the agreement of contracts for the year and an update on the QIPP schemes  </w:t>
            </w:r>
          </w:p>
          <w:p w:rsidR="002054A0" w:rsidRPr="000D1B0D" w:rsidRDefault="002054A0" w:rsidP="00B17042">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Default="00BD3456" w:rsidP="000D1B0D">
            <w:pPr>
              <w:pStyle w:val="Default"/>
              <w:jc w:val="both"/>
              <w:rPr>
                <w:rFonts w:ascii="Calibri" w:hAnsi="Calibri" w:cs="Calibri"/>
                <w:sz w:val="20"/>
                <w:szCs w:val="20"/>
              </w:rPr>
            </w:pPr>
            <w:r>
              <w:rPr>
                <w:rFonts w:ascii="Calibri" w:hAnsi="Calibri" w:cs="Calibri"/>
                <w:sz w:val="20"/>
                <w:szCs w:val="20"/>
              </w:rPr>
              <w:t>To note</w:t>
            </w:r>
            <w:r w:rsidR="00B17042">
              <w:rPr>
                <w:rFonts w:ascii="Calibri" w:hAnsi="Calibri" w:cs="Calibri"/>
                <w:sz w:val="20"/>
                <w:szCs w:val="20"/>
              </w:rPr>
              <w:t xml:space="preserve"> the</w:t>
            </w:r>
            <w:r>
              <w:rPr>
                <w:rFonts w:ascii="Calibri" w:hAnsi="Calibri" w:cs="Calibri"/>
                <w:sz w:val="20"/>
                <w:szCs w:val="20"/>
              </w:rPr>
              <w:t>:</w:t>
            </w:r>
          </w:p>
          <w:p w:rsidR="00035AD7" w:rsidRDefault="00B17042" w:rsidP="00BD3456">
            <w:pPr>
              <w:pStyle w:val="Default"/>
              <w:numPr>
                <w:ilvl w:val="0"/>
                <w:numId w:val="7"/>
              </w:numPr>
              <w:jc w:val="both"/>
              <w:rPr>
                <w:rFonts w:ascii="Calibri" w:hAnsi="Calibri" w:cs="Calibri"/>
                <w:sz w:val="20"/>
                <w:szCs w:val="20"/>
              </w:rPr>
            </w:pPr>
            <w:r>
              <w:rPr>
                <w:rFonts w:ascii="Calibri" w:hAnsi="Calibri" w:cs="Calibri"/>
                <w:sz w:val="20"/>
                <w:szCs w:val="20"/>
              </w:rPr>
              <w:t>F</w:t>
            </w:r>
            <w:r w:rsidR="00BD3456" w:rsidRPr="00035AD7">
              <w:rPr>
                <w:rFonts w:ascii="Calibri" w:hAnsi="Calibri" w:cs="Calibri"/>
                <w:sz w:val="20"/>
                <w:szCs w:val="20"/>
              </w:rPr>
              <w:t xml:space="preserve">inancial </w:t>
            </w:r>
            <w:r>
              <w:rPr>
                <w:rFonts w:ascii="Calibri" w:hAnsi="Calibri" w:cs="Calibri"/>
                <w:sz w:val="20"/>
                <w:szCs w:val="20"/>
              </w:rPr>
              <w:t xml:space="preserve">outturn </w:t>
            </w:r>
            <w:r w:rsidR="00BD3456" w:rsidRPr="00035AD7">
              <w:rPr>
                <w:rFonts w:ascii="Calibri" w:hAnsi="Calibri" w:cs="Calibri"/>
                <w:sz w:val="20"/>
                <w:szCs w:val="20"/>
              </w:rPr>
              <w:t xml:space="preserve">position as at </w:t>
            </w:r>
            <w:r w:rsidR="00035AD7" w:rsidRPr="00035AD7">
              <w:rPr>
                <w:rFonts w:ascii="Calibri" w:hAnsi="Calibri" w:cs="Calibri"/>
                <w:sz w:val="20"/>
                <w:szCs w:val="20"/>
              </w:rPr>
              <w:t>March</w:t>
            </w:r>
            <w:r w:rsidR="00BD3456" w:rsidRPr="00035AD7">
              <w:rPr>
                <w:rFonts w:ascii="Calibri" w:hAnsi="Calibri" w:cs="Calibri"/>
                <w:sz w:val="20"/>
                <w:szCs w:val="20"/>
              </w:rPr>
              <w:t xml:space="preserve"> 2019</w:t>
            </w:r>
            <w:r>
              <w:rPr>
                <w:rFonts w:ascii="Calibri" w:hAnsi="Calibri" w:cs="Calibri"/>
                <w:sz w:val="20"/>
                <w:szCs w:val="20"/>
              </w:rPr>
              <w:t>, including the year end</w:t>
            </w:r>
            <w:r w:rsidRPr="00035AD7">
              <w:rPr>
                <w:rFonts w:ascii="Calibri" w:hAnsi="Calibri" w:cs="Calibri"/>
                <w:sz w:val="20"/>
                <w:szCs w:val="20"/>
              </w:rPr>
              <w:t xml:space="preserve"> QIPP</w:t>
            </w:r>
            <w:r>
              <w:rPr>
                <w:rFonts w:ascii="Calibri" w:hAnsi="Calibri" w:cs="Calibri"/>
                <w:sz w:val="20"/>
                <w:szCs w:val="20"/>
              </w:rPr>
              <w:t xml:space="preserve"> position</w:t>
            </w:r>
          </w:p>
          <w:p w:rsidR="0001061C" w:rsidRDefault="00763B57" w:rsidP="00BD3456">
            <w:pPr>
              <w:pStyle w:val="Default"/>
              <w:numPr>
                <w:ilvl w:val="0"/>
                <w:numId w:val="7"/>
              </w:numPr>
              <w:jc w:val="both"/>
              <w:rPr>
                <w:rFonts w:ascii="Calibri" w:hAnsi="Calibri" w:cs="Calibri"/>
                <w:sz w:val="20"/>
                <w:szCs w:val="20"/>
              </w:rPr>
            </w:pPr>
            <w:r>
              <w:rPr>
                <w:rFonts w:ascii="Calibri" w:hAnsi="Calibri" w:cs="Calibri"/>
                <w:sz w:val="20"/>
                <w:szCs w:val="20"/>
              </w:rPr>
              <w:t xml:space="preserve">Latest 2019/20 budget position, </w:t>
            </w:r>
            <w:r w:rsidR="00B17042" w:rsidRPr="00B17042">
              <w:rPr>
                <w:rFonts w:ascii="Calibri" w:hAnsi="Calibri" w:cs="Calibri"/>
                <w:sz w:val="20"/>
                <w:szCs w:val="20"/>
              </w:rPr>
              <w:t xml:space="preserve">in particular in relation to any changes resulting from the agreement of contracts for the year and an update on the QIPP schemes  </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763B57" w:rsidRDefault="00763B57" w:rsidP="000D1B0D">
            <w:pPr>
              <w:pStyle w:val="Default"/>
              <w:jc w:val="both"/>
              <w:rPr>
                <w:rFonts w:ascii="Calibri" w:hAnsi="Calibri" w:cs="Calibri"/>
                <w:sz w:val="20"/>
                <w:szCs w:val="20"/>
              </w:rPr>
            </w:pPr>
            <w:r w:rsidRPr="00763B57">
              <w:rPr>
                <w:rFonts w:ascii="Calibri" w:hAnsi="Calibri" w:cs="Calibri"/>
                <w:sz w:val="20"/>
                <w:szCs w:val="20"/>
                <w:u w:val="single"/>
              </w:rPr>
              <w:t>18/19 outturn</w:t>
            </w:r>
            <w:r>
              <w:rPr>
                <w:rFonts w:ascii="Calibri" w:hAnsi="Calibri" w:cs="Calibri"/>
                <w:sz w:val="20"/>
                <w:szCs w:val="20"/>
              </w:rPr>
              <w:t xml:space="preserve">; </w:t>
            </w:r>
            <w:r w:rsidR="00BD3456">
              <w:rPr>
                <w:rFonts w:ascii="Calibri" w:hAnsi="Calibri" w:cs="Calibri"/>
                <w:sz w:val="20"/>
                <w:szCs w:val="20"/>
              </w:rPr>
              <w:t xml:space="preserve">A more detailed version of </w:t>
            </w:r>
            <w:r w:rsidR="0001061C">
              <w:rPr>
                <w:rFonts w:ascii="Calibri" w:hAnsi="Calibri" w:cs="Calibri"/>
                <w:sz w:val="20"/>
                <w:szCs w:val="20"/>
              </w:rPr>
              <w:t>the position</w:t>
            </w:r>
            <w:r w:rsidR="00BD3456">
              <w:rPr>
                <w:rFonts w:ascii="Calibri" w:hAnsi="Calibri" w:cs="Calibri"/>
                <w:sz w:val="20"/>
                <w:szCs w:val="20"/>
              </w:rPr>
              <w:t xml:space="preserve"> was taken to and discussed at the Delivery Assurance Committee on the</w:t>
            </w:r>
            <w:r w:rsidR="00DB2A0C">
              <w:rPr>
                <w:rFonts w:ascii="Calibri" w:hAnsi="Calibri" w:cs="Calibri"/>
                <w:sz w:val="20"/>
                <w:szCs w:val="20"/>
              </w:rPr>
              <w:t xml:space="preserve"> </w:t>
            </w:r>
            <w:r w:rsidR="00BD3456">
              <w:rPr>
                <w:rFonts w:ascii="Calibri" w:hAnsi="Calibri" w:cs="Calibri"/>
                <w:sz w:val="20"/>
                <w:szCs w:val="20"/>
              </w:rPr>
              <w:t>2</w:t>
            </w:r>
            <w:r w:rsidR="00DB2A0C">
              <w:rPr>
                <w:rFonts w:ascii="Calibri" w:hAnsi="Calibri" w:cs="Calibri"/>
                <w:sz w:val="20"/>
                <w:szCs w:val="20"/>
              </w:rPr>
              <w:t>4</w:t>
            </w:r>
            <w:r w:rsidR="00BD3456" w:rsidRPr="00BD3456">
              <w:rPr>
                <w:rFonts w:ascii="Calibri" w:hAnsi="Calibri" w:cs="Calibri"/>
                <w:sz w:val="20"/>
                <w:szCs w:val="20"/>
                <w:vertAlign w:val="superscript"/>
              </w:rPr>
              <w:t>th</w:t>
            </w:r>
            <w:r w:rsidR="00BD3456">
              <w:rPr>
                <w:rFonts w:ascii="Calibri" w:hAnsi="Calibri" w:cs="Calibri"/>
                <w:sz w:val="20"/>
                <w:szCs w:val="20"/>
              </w:rPr>
              <w:t xml:space="preserve"> </w:t>
            </w:r>
            <w:r w:rsidR="00DB2A0C">
              <w:rPr>
                <w:rFonts w:ascii="Calibri" w:hAnsi="Calibri" w:cs="Calibri"/>
                <w:sz w:val="20"/>
                <w:szCs w:val="20"/>
              </w:rPr>
              <w:t>April</w:t>
            </w:r>
            <w:r w:rsidR="00BD3456">
              <w:rPr>
                <w:rFonts w:ascii="Calibri" w:hAnsi="Calibri" w:cs="Calibri"/>
                <w:sz w:val="20"/>
                <w:szCs w:val="20"/>
              </w:rPr>
              <w:t xml:space="preserve"> 2019.</w:t>
            </w:r>
            <w:r>
              <w:rPr>
                <w:rFonts w:ascii="Calibri" w:hAnsi="Calibri" w:cs="Calibri"/>
                <w:sz w:val="20"/>
                <w:szCs w:val="20"/>
              </w:rPr>
              <w:t xml:space="preserve"> This was also c</w:t>
            </w:r>
            <w:r w:rsidR="00B17042">
              <w:rPr>
                <w:rFonts w:ascii="Calibri" w:hAnsi="Calibri" w:cs="Calibri"/>
                <w:sz w:val="20"/>
                <w:szCs w:val="20"/>
              </w:rPr>
              <w:t>onsidered as part of the sign off of the audited annual accounts by the Integrated Governance &amp; Audit Committee</w:t>
            </w:r>
            <w:r>
              <w:rPr>
                <w:rFonts w:ascii="Calibri" w:hAnsi="Calibri" w:cs="Calibri"/>
                <w:sz w:val="20"/>
                <w:szCs w:val="20"/>
              </w:rPr>
              <w:t xml:space="preserve">. </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Pr="000D1B0D" w:rsidRDefault="00ED276A" w:rsidP="00763B57">
            <w:pPr>
              <w:pStyle w:val="Default"/>
              <w:jc w:val="both"/>
              <w:rPr>
                <w:rFonts w:ascii="Calibri" w:hAnsi="Calibri" w:cs="Calibri"/>
                <w:sz w:val="20"/>
                <w:szCs w:val="20"/>
              </w:rPr>
            </w:pPr>
            <w:r w:rsidRPr="0063469B">
              <w:rPr>
                <w:rFonts w:ascii="Calibri" w:hAnsi="Calibri" w:cs="Calibri"/>
                <w:sz w:val="20"/>
                <w:szCs w:val="20"/>
              </w:rPr>
              <w:t xml:space="preserve">The risk associated with the deliverability of the </w:t>
            </w:r>
            <w:r w:rsidR="00763B57">
              <w:rPr>
                <w:rFonts w:ascii="Calibri" w:hAnsi="Calibri" w:cs="Calibri"/>
                <w:sz w:val="20"/>
                <w:szCs w:val="20"/>
              </w:rPr>
              <w:t xml:space="preserve">system wide </w:t>
            </w:r>
            <w:r w:rsidRPr="0063469B">
              <w:rPr>
                <w:rFonts w:ascii="Calibri" w:hAnsi="Calibri" w:cs="Calibri"/>
                <w:sz w:val="20"/>
                <w:szCs w:val="20"/>
              </w:rPr>
              <w:t>QIPP schemes is included on the CCGs risk register</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054A0" w:rsidRPr="000D1B0D" w:rsidRDefault="00BD3456" w:rsidP="000D1B0D">
            <w:pPr>
              <w:pStyle w:val="Default"/>
              <w:jc w:val="both"/>
              <w:rPr>
                <w:rFonts w:ascii="Calibri" w:hAnsi="Calibri" w:cs="Calibri"/>
                <w:sz w:val="20"/>
                <w:szCs w:val="20"/>
              </w:rPr>
            </w:pPr>
            <w:r>
              <w:rPr>
                <w:rFonts w:ascii="Calibri" w:hAnsi="Calibri" w:cs="Calibri"/>
                <w:sz w:val="20"/>
                <w:szCs w:val="20"/>
              </w:rPr>
              <w:t>None</w:t>
            </w:r>
          </w:p>
        </w:tc>
      </w:tr>
      <w:tr w:rsidR="00ED276A"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BD3456" w:rsidP="00AB4FF6">
                <w:pPr>
                  <w:pStyle w:val="Default"/>
                  <w:rPr>
                    <w:rFonts w:ascii="Calibri" w:hAnsi="Calibri" w:cs="Calibri"/>
                    <w:b/>
                    <w:sz w:val="20"/>
                    <w:szCs w:val="20"/>
                  </w:rPr>
                </w:pPr>
                <w:r>
                  <w:rPr>
                    <w:rFonts w:ascii="Calibri" w:hAnsi="Calibri" w:cs="Calibri"/>
                    <w:b/>
                    <w:sz w:val="20"/>
                    <w:szCs w:val="20"/>
                  </w:rPr>
                  <w:t>No</w:t>
                </w:r>
              </w:p>
            </w:tc>
          </w:sdtContent>
        </w:sdt>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tc>
          <w:tcPr>
            <w:tcW w:w="851" w:type="pct"/>
            <w:shd w:val="clear" w:color="auto" w:fill="auto"/>
          </w:tcPr>
          <w:p w:rsidR="002C32CC" w:rsidRPr="00AB4FF6" w:rsidRDefault="002C32CC" w:rsidP="00AB4FF6">
            <w:pPr>
              <w:pStyle w:val="Default"/>
              <w:rPr>
                <w:rFonts w:ascii="Calibri" w:hAnsi="Calibri" w:cs="Calibri"/>
                <w:b/>
                <w:sz w:val="20"/>
                <w:szCs w:val="20"/>
              </w:rPr>
            </w:pPr>
          </w:p>
        </w:tc>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BD3456" w:rsidP="00AB4FF6">
                <w:pPr>
                  <w:pStyle w:val="Default"/>
                  <w:rPr>
                    <w:rFonts w:ascii="Calibri" w:hAnsi="Calibri" w:cs="Calibri"/>
                    <w:b/>
                    <w:sz w:val="20"/>
                    <w:szCs w:val="20"/>
                  </w:rPr>
                </w:pPr>
                <w:r>
                  <w:rPr>
                    <w:rFonts w:ascii="Calibri" w:hAnsi="Calibri" w:cs="Calibri"/>
                    <w:b/>
                    <w:sz w:val="20"/>
                    <w:szCs w:val="20"/>
                  </w:rPr>
                  <w:t>No</w:t>
                </w:r>
              </w:p>
            </w:tc>
          </w:sdtContent>
        </w:sdt>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tc>
          <w:tcPr>
            <w:tcW w:w="851" w:type="pct"/>
            <w:shd w:val="clear" w:color="auto" w:fill="auto"/>
          </w:tcPr>
          <w:p w:rsidR="002C32CC" w:rsidRPr="00AB4FF6" w:rsidRDefault="002C32CC" w:rsidP="00AB4FF6">
            <w:pPr>
              <w:pStyle w:val="Default"/>
              <w:rPr>
                <w:rFonts w:ascii="Calibri" w:hAnsi="Calibri" w:cs="Calibri"/>
                <w:b/>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p>
          <w:p w:rsidR="00AB645B" w:rsidRPr="00AB645B" w:rsidRDefault="00AB645B" w:rsidP="00E73B61">
            <w:pPr>
              <w:pStyle w:val="Default"/>
              <w:jc w:val="both"/>
              <w:rPr>
                <w:rFonts w:ascii="Calibri" w:hAnsi="Calibri" w:cs="Calibri"/>
                <w:sz w:val="20"/>
                <w:szCs w:val="20"/>
              </w:rPr>
            </w:pPr>
          </w:p>
        </w:tc>
      </w:tr>
      <w:tr w:rsidR="00473CC5" w:rsidRPr="000D1B0D" w:rsidTr="001B0704">
        <w:trPr>
          <w:trHeight w:val="8496"/>
        </w:trPr>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Default="00473CC5" w:rsidP="009D4EDC">
            <w:pPr>
              <w:pStyle w:val="Default"/>
              <w:rPr>
                <w:rFonts w:ascii="Calibri" w:hAnsi="Calibri" w:cs="Calibri"/>
                <w:i/>
                <w:sz w:val="20"/>
                <w:szCs w:val="20"/>
              </w:rPr>
            </w:pPr>
          </w:p>
          <w:p w:rsidR="004F635B" w:rsidRPr="00F300A1" w:rsidRDefault="004F635B" w:rsidP="009D4EDC">
            <w:pPr>
              <w:pStyle w:val="Default"/>
              <w:rPr>
                <w:rFonts w:ascii="Calibri" w:hAnsi="Calibri" w:cs="Calibri"/>
                <w:i/>
                <w:sz w:val="20"/>
                <w:szCs w:val="20"/>
              </w:rPr>
            </w:pPr>
          </w:p>
        </w:tc>
        <w:tc>
          <w:tcPr>
            <w:tcW w:w="3817" w:type="pct"/>
            <w:gridSpan w:val="2"/>
            <w:shd w:val="clear" w:color="auto" w:fill="auto"/>
          </w:tcPr>
          <w:p w:rsidR="00246EFA" w:rsidRDefault="00B17042" w:rsidP="000D1B0D">
            <w:pPr>
              <w:pStyle w:val="Default"/>
              <w:jc w:val="both"/>
              <w:rPr>
                <w:rFonts w:ascii="Calibri" w:hAnsi="Calibri" w:cs="Calibri"/>
                <w:b/>
                <w:sz w:val="20"/>
                <w:szCs w:val="20"/>
                <w:u w:val="single"/>
              </w:rPr>
            </w:pPr>
            <w:r w:rsidRPr="00B17042">
              <w:rPr>
                <w:rFonts w:ascii="Calibri" w:hAnsi="Calibri" w:cs="Calibri"/>
                <w:b/>
                <w:sz w:val="20"/>
                <w:szCs w:val="20"/>
                <w:u w:val="single"/>
              </w:rPr>
              <w:t>2018/19 Outturn</w:t>
            </w:r>
          </w:p>
          <w:p w:rsidR="00C3728B" w:rsidRDefault="00C3728B" w:rsidP="000D1B0D">
            <w:pPr>
              <w:pStyle w:val="Default"/>
              <w:jc w:val="both"/>
              <w:rPr>
                <w:rFonts w:ascii="Calibri" w:hAnsi="Calibri" w:cs="Calibri"/>
                <w:b/>
                <w:sz w:val="20"/>
                <w:szCs w:val="20"/>
                <w:u w:val="single"/>
              </w:rPr>
            </w:pPr>
          </w:p>
          <w:p w:rsidR="00C3728B" w:rsidRDefault="00C3728B" w:rsidP="000D1B0D">
            <w:pPr>
              <w:pStyle w:val="Default"/>
              <w:jc w:val="both"/>
              <w:rPr>
                <w:rFonts w:ascii="Calibri" w:hAnsi="Calibri" w:cs="Calibri"/>
                <w:sz w:val="20"/>
                <w:szCs w:val="20"/>
              </w:rPr>
            </w:pPr>
            <w:r>
              <w:rPr>
                <w:rFonts w:ascii="Calibri" w:hAnsi="Calibri" w:cs="Calibri"/>
                <w:sz w:val="20"/>
                <w:szCs w:val="20"/>
              </w:rPr>
              <w:t>The CCG achieved all of its Statutory and Financial KPI’s for 2018/19 as detailed in the table below:</w:t>
            </w:r>
          </w:p>
          <w:p w:rsidR="00C3728B" w:rsidRPr="00C3728B" w:rsidRDefault="00C3728B" w:rsidP="000D1B0D">
            <w:pPr>
              <w:pStyle w:val="Default"/>
              <w:jc w:val="both"/>
              <w:rPr>
                <w:rFonts w:ascii="Calibri" w:hAnsi="Calibri" w:cs="Calibri"/>
                <w:sz w:val="20"/>
                <w:szCs w:val="20"/>
              </w:rPr>
            </w:pPr>
          </w:p>
          <w:tbl>
            <w:tblPr>
              <w:tblW w:w="8289" w:type="dxa"/>
              <w:tblLook w:val="04A0" w:firstRow="1" w:lastRow="0" w:firstColumn="1" w:lastColumn="0" w:noHBand="0" w:noVBand="1"/>
            </w:tblPr>
            <w:tblGrid>
              <w:gridCol w:w="4244"/>
              <w:gridCol w:w="1399"/>
              <w:gridCol w:w="1361"/>
              <w:gridCol w:w="1002"/>
              <w:gridCol w:w="283"/>
            </w:tblGrid>
            <w:tr w:rsidR="00DB2A0C" w:rsidRPr="00D37168" w:rsidTr="00DB2A0C">
              <w:trPr>
                <w:trHeight w:val="825"/>
              </w:trPr>
              <w:tc>
                <w:tcPr>
                  <w:tcW w:w="4244" w:type="dxa"/>
                  <w:tcBorders>
                    <w:top w:val="single" w:sz="4" w:space="0" w:color="auto"/>
                    <w:left w:val="single" w:sz="4" w:space="0" w:color="auto"/>
                    <w:bottom w:val="single" w:sz="4" w:space="0" w:color="auto"/>
                    <w:right w:val="nil"/>
                  </w:tcBorders>
                  <w:shd w:val="clear" w:color="auto" w:fill="auto"/>
                  <w:noWrap/>
                  <w:vAlign w:val="center"/>
                  <w:hideMark/>
                </w:tcPr>
                <w:p w:rsidR="00DB2A0C" w:rsidRPr="00D37168" w:rsidRDefault="00DB2A0C" w:rsidP="00C3728B">
                  <w:pP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 xml:space="preserve">Key Performance Indicators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Classification</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 xml:space="preserve">Table </w:t>
                  </w:r>
                </w:p>
              </w:tc>
              <w:tc>
                <w:tcPr>
                  <w:tcW w:w="12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2A0C" w:rsidRPr="00D37168" w:rsidRDefault="00DB2A0C"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Outturn</w:t>
                  </w:r>
                </w:p>
              </w:tc>
            </w:tr>
            <w:tr w:rsidR="00DB2A0C" w:rsidRPr="00D37168" w:rsidTr="00DE3799">
              <w:trPr>
                <w:trHeight w:val="607"/>
              </w:trPr>
              <w:tc>
                <w:tcPr>
                  <w:tcW w:w="4244" w:type="dxa"/>
                  <w:tcBorders>
                    <w:top w:val="nil"/>
                    <w:left w:val="single" w:sz="4" w:space="0" w:color="auto"/>
                    <w:bottom w:val="nil"/>
                    <w:right w:val="nil"/>
                  </w:tcBorders>
                  <w:shd w:val="clear" w:color="auto" w:fill="auto"/>
                  <w:noWrap/>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NHS Operating Position (Plan = breakeven)</w:t>
                  </w:r>
                </w:p>
              </w:tc>
              <w:tc>
                <w:tcPr>
                  <w:tcW w:w="1399" w:type="dxa"/>
                  <w:tcBorders>
                    <w:top w:val="nil"/>
                    <w:left w:val="single" w:sz="4" w:space="0" w:color="auto"/>
                    <w:bottom w:val="nil"/>
                    <w:right w:val="single" w:sz="4" w:space="0" w:color="auto"/>
                  </w:tcBorders>
                  <w:shd w:val="clear" w:color="auto" w:fill="auto"/>
                  <w:noWrap/>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single" w:sz="4" w:space="0" w:color="auto"/>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427"/>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Adult Social Care (ASC) Partnership Agreement (Plan = breakeven)</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B2A0C">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788"/>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NHSE Mandated Surplus (Reported surplus = £8.147m surplus</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Statutory</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431"/>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Capital resource use does not exceed the amount specified in Directions</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Statutory</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E3799">
              <w:trPr>
                <w:trHeight w:val="495"/>
              </w:trPr>
              <w:tc>
                <w:tcPr>
                  <w:tcW w:w="4244" w:type="dxa"/>
                  <w:tcBorders>
                    <w:top w:val="nil"/>
                    <w:left w:val="single" w:sz="4" w:space="0" w:color="auto"/>
                    <w:bottom w:val="nil"/>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Manage cash within 1.25% of monthly drawdown (or &lt;£250k, whichever is the greater)</w:t>
                  </w:r>
                </w:p>
              </w:tc>
              <w:tc>
                <w:tcPr>
                  <w:tcW w:w="1399"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nil"/>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tc>
              <w:tc>
                <w:tcPr>
                  <w:tcW w:w="1002" w:type="dxa"/>
                  <w:tcBorders>
                    <w:top w:val="nil"/>
                    <w:left w:val="nil"/>
                    <w:bottom w:val="nil"/>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nil"/>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B2A0C" w:rsidRPr="00D37168" w:rsidTr="00DB2A0C">
              <w:trPr>
                <w:trHeight w:val="825"/>
              </w:trPr>
              <w:tc>
                <w:tcPr>
                  <w:tcW w:w="4244" w:type="dxa"/>
                  <w:tcBorders>
                    <w:top w:val="nil"/>
                    <w:left w:val="single" w:sz="4" w:space="0" w:color="auto"/>
                    <w:bottom w:val="single" w:sz="4" w:space="0" w:color="auto"/>
                    <w:right w:val="single" w:sz="4" w:space="0" w:color="000000"/>
                  </w:tcBorders>
                  <w:shd w:val="clear" w:color="auto" w:fill="auto"/>
                  <w:vAlign w:val="center"/>
                  <w:hideMark/>
                </w:tcPr>
                <w:p w:rsidR="00DB2A0C" w:rsidRPr="00D37168" w:rsidRDefault="00DB2A0C"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 xml:space="preserve">BPPC – </w:t>
                  </w:r>
                  <w:r w:rsidR="00390412">
                    <w:rPr>
                      <w:rFonts w:asciiTheme="minorHAnsi" w:hAnsiTheme="minorHAnsi" w:cs="Arial"/>
                      <w:color w:val="000000"/>
                      <w:sz w:val="20"/>
                      <w:lang w:eastAsia="en-GB"/>
                    </w:rPr>
                    <w:t xml:space="preserve">95% </w:t>
                  </w:r>
                  <w:r w:rsidRPr="00D37168">
                    <w:rPr>
                      <w:rFonts w:asciiTheme="minorHAnsi" w:hAnsiTheme="minorHAnsi" w:cs="Arial"/>
                      <w:color w:val="000000"/>
                      <w:sz w:val="20"/>
                      <w:lang w:eastAsia="en-GB"/>
                    </w:rPr>
                    <w:t>number/value paid within 30 days</w:t>
                  </w:r>
                </w:p>
              </w:tc>
              <w:tc>
                <w:tcPr>
                  <w:tcW w:w="1399" w:type="dxa"/>
                  <w:tcBorders>
                    <w:top w:val="nil"/>
                    <w:left w:val="nil"/>
                    <w:bottom w:val="single" w:sz="4" w:space="0" w:color="auto"/>
                    <w:right w:val="single" w:sz="4" w:space="0" w:color="auto"/>
                  </w:tcBorders>
                  <w:shd w:val="clear" w:color="auto" w:fill="auto"/>
                  <w:vAlign w:val="center"/>
                  <w:hideMark/>
                </w:tcPr>
                <w:p w:rsidR="00DB2A0C" w:rsidRPr="00D37168" w:rsidRDefault="00DB2A0C"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1361" w:type="dxa"/>
                  <w:tcBorders>
                    <w:top w:val="nil"/>
                    <w:left w:val="nil"/>
                    <w:bottom w:val="single" w:sz="4" w:space="0" w:color="auto"/>
                    <w:right w:val="single" w:sz="4" w:space="0" w:color="auto"/>
                  </w:tcBorders>
                  <w:shd w:val="clear" w:color="auto" w:fill="auto"/>
                  <w:vAlign w:val="center"/>
                  <w:hideMark/>
                </w:tcPr>
                <w:p w:rsidR="00DB2A0C" w:rsidRPr="00D37168" w:rsidRDefault="00DC591C" w:rsidP="00D37168">
                  <w:pPr>
                    <w:jc w:val="center"/>
                    <w:rPr>
                      <w:rFonts w:asciiTheme="minorHAnsi" w:hAnsiTheme="minorHAnsi" w:cs="Arial"/>
                      <w:color w:val="000000"/>
                      <w:sz w:val="20"/>
                      <w:lang w:eastAsia="en-GB"/>
                    </w:rPr>
                  </w:pPr>
                  <w:r>
                    <w:rPr>
                      <w:rFonts w:asciiTheme="minorHAnsi" w:hAnsiTheme="minorHAnsi" w:cs="Arial"/>
                      <w:color w:val="000000"/>
                      <w:sz w:val="20"/>
                      <w:lang w:eastAsia="en-GB"/>
                    </w:rPr>
                    <w:t>2</w:t>
                  </w:r>
                </w:p>
              </w:tc>
              <w:tc>
                <w:tcPr>
                  <w:tcW w:w="1002" w:type="dxa"/>
                  <w:tcBorders>
                    <w:top w:val="nil"/>
                    <w:left w:val="nil"/>
                    <w:bottom w:val="single" w:sz="4" w:space="0" w:color="auto"/>
                    <w:right w:val="nil"/>
                  </w:tcBorders>
                  <w:shd w:val="clear" w:color="auto" w:fill="auto"/>
                  <w:noWrap/>
                  <w:vAlign w:val="center"/>
                  <w:hideMark/>
                </w:tcPr>
                <w:p w:rsidR="00DB2A0C" w:rsidRPr="00D37168" w:rsidRDefault="00DB2A0C"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83" w:type="dxa"/>
                  <w:tcBorders>
                    <w:top w:val="nil"/>
                    <w:left w:val="nil"/>
                    <w:bottom w:val="single" w:sz="4" w:space="0" w:color="auto"/>
                    <w:right w:val="single" w:sz="4" w:space="0" w:color="auto"/>
                  </w:tcBorders>
                  <w:shd w:val="clear" w:color="auto" w:fill="auto"/>
                  <w:noWrap/>
                  <w:vAlign w:val="center"/>
                  <w:hideMark/>
                </w:tcPr>
                <w:p w:rsidR="00DB2A0C" w:rsidRPr="00D37168" w:rsidRDefault="00DB2A0C"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bl>
          <w:p w:rsidR="00246EFA" w:rsidRDefault="00246EFA" w:rsidP="000D1B0D">
            <w:pPr>
              <w:pStyle w:val="Default"/>
              <w:jc w:val="both"/>
              <w:rPr>
                <w:rFonts w:ascii="Calibri" w:hAnsi="Calibri" w:cs="Calibri"/>
                <w:sz w:val="20"/>
                <w:szCs w:val="20"/>
              </w:rPr>
            </w:pPr>
          </w:p>
          <w:p w:rsidR="006916D3" w:rsidRDefault="006916D3" w:rsidP="000D1B0D">
            <w:pPr>
              <w:pStyle w:val="Default"/>
              <w:jc w:val="both"/>
              <w:rPr>
                <w:rFonts w:ascii="Calibri" w:hAnsi="Calibri" w:cs="Calibri"/>
                <w:sz w:val="20"/>
                <w:szCs w:val="20"/>
              </w:rPr>
            </w:pPr>
            <w:r w:rsidRPr="00DC591C">
              <w:rPr>
                <w:rFonts w:asciiTheme="minorHAnsi" w:hAnsiTheme="minorHAnsi"/>
                <w:sz w:val="20"/>
              </w:rPr>
              <w:t>In particular we would draw your attention to the following:-</w:t>
            </w:r>
          </w:p>
          <w:p w:rsidR="006916D3" w:rsidRDefault="006916D3" w:rsidP="000D1B0D">
            <w:pPr>
              <w:pStyle w:val="Default"/>
              <w:jc w:val="both"/>
              <w:rPr>
                <w:rFonts w:ascii="Calibri" w:hAnsi="Calibri" w:cs="Calibri"/>
                <w:sz w:val="20"/>
                <w:szCs w:val="20"/>
              </w:rPr>
            </w:pPr>
          </w:p>
          <w:p w:rsidR="006916D3" w:rsidRDefault="006916D3" w:rsidP="000D1B0D">
            <w:pPr>
              <w:pStyle w:val="Default"/>
              <w:jc w:val="both"/>
              <w:rPr>
                <w:rFonts w:ascii="Calibri" w:hAnsi="Calibri" w:cs="Calibri"/>
                <w:sz w:val="20"/>
                <w:szCs w:val="20"/>
              </w:rPr>
            </w:pPr>
            <w:r w:rsidRPr="00DC591C">
              <w:rPr>
                <w:rFonts w:asciiTheme="minorHAnsi" w:hAnsiTheme="minorHAnsi"/>
                <w:b/>
                <w:bCs/>
                <w:sz w:val="20"/>
              </w:rPr>
              <w:t xml:space="preserve">North Lincolnshire &amp; Goole FT (NLAG); </w:t>
            </w:r>
            <w:r w:rsidRPr="00DC591C">
              <w:rPr>
                <w:rFonts w:asciiTheme="minorHAnsi" w:hAnsiTheme="minorHAnsi"/>
                <w:sz w:val="20"/>
              </w:rPr>
              <w:t>The CCG have applied a consistent approach to that used all year in calculating our assessment of the outturn.</w:t>
            </w:r>
            <w:r w:rsidR="00763B57">
              <w:rPr>
                <w:rFonts w:asciiTheme="minorHAnsi" w:hAnsiTheme="minorHAnsi"/>
                <w:sz w:val="20"/>
              </w:rPr>
              <w:t xml:space="preserve"> The final position will be agreed once the validated activity position for March 19 is known which will be by </w:t>
            </w:r>
            <w:r w:rsidR="004F635B">
              <w:rPr>
                <w:rFonts w:asciiTheme="minorHAnsi" w:hAnsiTheme="minorHAnsi"/>
                <w:sz w:val="20"/>
              </w:rPr>
              <w:t>7th</w:t>
            </w:r>
            <w:r w:rsidR="00763B57">
              <w:rPr>
                <w:rFonts w:asciiTheme="minorHAnsi" w:hAnsiTheme="minorHAnsi"/>
                <w:sz w:val="20"/>
              </w:rPr>
              <w:t xml:space="preserve"> June.</w:t>
            </w:r>
          </w:p>
          <w:p w:rsidR="00DE3799" w:rsidRDefault="00DE3799" w:rsidP="000D1B0D">
            <w:pPr>
              <w:pStyle w:val="Default"/>
              <w:jc w:val="both"/>
              <w:rPr>
                <w:rFonts w:asciiTheme="minorHAnsi" w:hAnsiTheme="minorHAnsi"/>
                <w:sz w:val="20"/>
              </w:rPr>
            </w:pPr>
          </w:p>
          <w:p w:rsidR="004F635B" w:rsidRDefault="00DE3799" w:rsidP="000D1B0D">
            <w:pPr>
              <w:pStyle w:val="Default"/>
              <w:jc w:val="both"/>
              <w:rPr>
                <w:rFonts w:asciiTheme="minorHAnsi" w:hAnsiTheme="minorHAnsi"/>
                <w:bCs/>
                <w:sz w:val="20"/>
              </w:rPr>
            </w:pPr>
            <w:r w:rsidRPr="00DC591C">
              <w:rPr>
                <w:rFonts w:asciiTheme="minorHAnsi" w:hAnsiTheme="minorHAnsi"/>
                <w:b/>
                <w:bCs/>
                <w:sz w:val="20"/>
              </w:rPr>
              <w:t xml:space="preserve">Adult Social Care; </w:t>
            </w:r>
            <w:r w:rsidR="004F635B">
              <w:rPr>
                <w:rFonts w:asciiTheme="minorHAnsi" w:hAnsiTheme="minorHAnsi"/>
                <w:bCs/>
                <w:sz w:val="20"/>
              </w:rPr>
              <w:t xml:space="preserve">The CCG had to draw down £578k from </w:t>
            </w:r>
            <w:r w:rsidR="004F635B" w:rsidRPr="004F635B">
              <w:rPr>
                <w:rFonts w:asciiTheme="minorHAnsi" w:hAnsiTheme="minorHAnsi"/>
                <w:sz w:val="20"/>
              </w:rPr>
              <w:t>non</w:t>
            </w:r>
            <w:r w:rsidR="004F635B">
              <w:rPr>
                <w:rFonts w:asciiTheme="minorHAnsi" w:hAnsiTheme="minorHAnsi"/>
                <w:sz w:val="20"/>
              </w:rPr>
              <w:t>-</w:t>
            </w:r>
            <w:r w:rsidR="004F635B" w:rsidRPr="004F635B">
              <w:rPr>
                <w:rFonts w:asciiTheme="minorHAnsi" w:hAnsiTheme="minorHAnsi"/>
                <w:sz w:val="20"/>
              </w:rPr>
              <w:t>recurrent reserves held at NELC</w:t>
            </w:r>
            <w:r w:rsidR="004F635B">
              <w:rPr>
                <w:rFonts w:asciiTheme="minorHAnsi" w:hAnsiTheme="minorHAnsi"/>
                <w:sz w:val="20"/>
              </w:rPr>
              <w:t xml:space="preserve"> in order to break-even in 2018/19. </w:t>
            </w:r>
            <w:r w:rsidR="00D562BE">
              <w:rPr>
                <w:rFonts w:asciiTheme="minorHAnsi" w:hAnsiTheme="minorHAnsi"/>
                <w:sz w:val="20"/>
              </w:rPr>
              <w:t>The impact of this has been fully factored into the 2019/20 budgets.</w:t>
            </w:r>
          </w:p>
          <w:p w:rsidR="00EC7E7C" w:rsidRDefault="00EC7E7C" w:rsidP="000D1B0D">
            <w:pPr>
              <w:pStyle w:val="Default"/>
              <w:jc w:val="both"/>
              <w:rPr>
                <w:rFonts w:asciiTheme="minorHAnsi" w:hAnsiTheme="minorHAnsi"/>
                <w:sz w:val="20"/>
              </w:rPr>
            </w:pPr>
          </w:p>
          <w:p w:rsidR="00DE3799" w:rsidRDefault="00DE3799" w:rsidP="00DE3799">
            <w:pPr>
              <w:pStyle w:val="Default"/>
              <w:jc w:val="both"/>
              <w:rPr>
                <w:rFonts w:ascii="Calibri" w:hAnsi="Calibri" w:cs="Calibri"/>
                <w:sz w:val="20"/>
                <w:szCs w:val="20"/>
              </w:rPr>
            </w:pPr>
            <w:r w:rsidRPr="00EF44B1">
              <w:rPr>
                <w:rFonts w:ascii="Calibri" w:hAnsi="Calibri" w:cs="Calibri"/>
                <w:b/>
                <w:sz w:val="20"/>
                <w:szCs w:val="20"/>
              </w:rPr>
              <w:t>QIPP</w:t>
            </w:r>
            <w:r>
              <w:rPr>
                <w:rFonts w:ascii="Calibri" w:hAnsi="Calibri" w:cs="Calibri"/>
                <w:b/>
                <w:sz w:val="20"/>
                <w:szCs w:val="20"/>
              </w:rPr>
              <w:t xml:space="preserve"> as at March </w:t>
            </w:r>
            <w:r w:rsidR="00733254">
              <w:rPr>
                <w:rFonts w:ascii="Calibri" w:hAnsi="Calibri" w:cs="Calibri"/>
                <w:b/>
                <w:sz w:val="20"/>
                <w:szCs w:val="20"/>
              </w:rPr>
              <w:t>2019;</w:t>
            </w:r>
            <w:r>
              <w:rPr>
                <w:rFonts w:ascii="Calibri" w:hAnsi="Calibri" w:cs="Calibri"/>
                <w:sz w:val="20"/>
                <w:szCs w:val="20"/>
              </w:rPr>
              <w:t xml:space="preserve"> S</w:t>
            </w:r>
            <w:r w:rsidRPr="00EF44B1">
              <w:rPr>
                <w:rFonts w:ascii="Calibri" w:hAnsi="Calibri" w:cs="Calibri"/>
                <w:sz w:val="20"/>
                <w:szCs w:val="20"/>
              </w:rPr>
              <w:t>aving</w:t>
            </w:r>
            <w:r>
              <w:rPr>
                <w:rFonts w:ascii="Calibri" w:hAnsi="Calibri" w:cs="Calibri"/>
                <w:sz w:val="20"/>
                <w:szCs w:val="20"/>
              </w:rPr>
              <w:t xml:space="preserve">s achieved for the year is £71k higher than the target.  </w:t>
            </w:r>
          </w:p>
          <w:p w:rsidR="00DE3799" w:rsidRDefault="00DE3799" w:rsidP="000D1B0D">
            <w:pPr>
              <w:pStyle w:val="Default"/>
              <w:jc w:val="both"/>
              <w:rPr>
                <w:rFonts w:asciiTheme="minorHAnsi" w:hAnsiTheme="minorHAnsi"/>
                <w:sz w:val="20"/>
              </w:rPr>
            </w:pPr>
          </w:p>
          <w:p w:rsidR="0001061C" w:rsidRDefault="0001061C" w:rsidP="00DE3799">
            <w:pPr>
              <w:pStyle w:val="Default"/>
              <w:jc w:val="both"/>
              <w:rPr>
                <w:rFonts w:ascii="Calibri" w:hAnsi="Calibri" w:cs="Calibri"/>
                <w:sz w:val="20"/>
                <w:szCs w:val="20"/>
              </w:rPr>
            </w:pPr>
          </w:p>
          <w:p w:rsidR="0001061C" w:rsidRPr="00390412" w:rsidRDefault="00390412" w:rsidP="00DE3799">
            <w:pPr>
              <w:pStyle w:val="Default"/>
              <w:jc w:val="both"/>
              <w:rPr>
                <w:rFonts w:ascii="Calibri" w:hAnsi="Calibri" w:cs="Calibri"/>
                <w:b/>
                <w:sz w:val="20"/>
                <w:szCs w:val="20"/>
                <w:u w:val="single"/>
              </w:rPr>
            </w:pPr>
            <w:r w:rsidRPr="00390412">
              <w:rPr>
                <w:rFonts w:ascii="Calibri" w:hAnsi="Calibri" w:cs="Calibri"/>
                <w:b/>
                <w:sz w:val="20"/>
                <w:szCs w:val="20"/>
                <w:u w:val="single"/>
              </w:rPr>
              <w:t>2019/20 Budget update</w:t>
            </w:r>
          </w:p>
          <w:p w:rsidR="00390412" w:rsidRDefault="00390412" w:rsidP="0001061C">
            <w:pPr>
              <w:pStyle w:val="Default"/>
              <w:jc w:val="both"/>
              <w:rPr>
                <w:rFonts w:asciiTheme="minorHAnsi" w:hAnsiTheme="minorHAnsi"/>
                <w:sz w:val="20"/>
                <w:szCs w:val="20"/>
              </w:rPr>
            </w:pPr>
          </w:p>
          <w:p w:rsidR="0001061C" w:rsidRDefault="0001061C" w:rsidP="0001061C">
            <w:pPr>
              <w:pStyle w:val="Default"/>
              <w:jc w:val="both"/>
              <w:rPr>
                <w:rFonts w:asciiTheme="minorHAnsi" w:hAnsiTheme="minorHAnsi"/>
                <w:sz w:val="20"/>
                <w:szCs w:val="20"/>
              </w:rPr>
            </w:pPr>
            <w:r w:rsidRPr="0001061C">
              <w:rPr>
                <w:rFonts w:asciiTheme="minorHAnsi" w:hAnsiTheme="minorHAnsi"/>
                <w:sz w:val="20"/>
                <w:szCs w:val="20"/>
              </w:rPr>
              <w:t xml:space="preserve">The key points to bring to the </w:t>
            </w:r>
            <w:r w:rsidR="00390412">
              <w:rPr>
                <w:rFonts w:asciiTheme="minorHAnsi" w:hAnsiTheme="minorHAnsi"/>
                <w:sz w:val="20"/>
                <w:szCs w:val="20"/>
              </w:rPr>
              <w:t>Governing Body’s</w:t>
            </w:r>
            <w:r w:rsidRPr="0001061C">
              <w:rPr>
                <w:rFonts w:asciiTheme="minorHAnsi" w:hAnsiTheme="minorHAnsi"/>
                <w:sz w:val="20"/>
                <w:szCs w:val="20"/>
              </w:rPr>
              <w:t xml:space="preserve"> attention are:-</w:t>
            </w:r>
          </w:p>
          <w:p w:rsidR="00390412" w:rsidRPr="0001061C" w:rsidRDefault="00390412" w:rsidP="0001061C">
            <w:pPr>
              <w:pStyle w:val="Default"/>
              <w:jc w:val="both"/>
              <w:rPr>
                <w:rFonts w:asciiTheme="minorHAnsi" w:hAnsiTheme="minorHAnsi"/>
                <w:sz w:val="20"/>
                <w:szCs w:val="20"/>
              </w:rPr>
            </w:pPr>
          </w:p>
          <w:p w:rsidR="0001061C" w:rsidRDefault="0001061C" w:rsidP="00390412">
            <w:pPr>
              <w:pStyle w:val="Default"/>
              <w:jc w:val="both"/>
              <w:rPr>
                <w:rFonts w:ascii="Calibri" w:hAnsi="Calibri" w:cs="Calibri"/>
                <w:sz w:val="20"/>
                <w:szCs w:val="20"/>
              </w:rPr>
            </w:pPr>
            <w:r>
              <w:rPr>
                <w:rFonts w:ascii="Calibri" w:hAnsi="Calibri" w:cs="Calibri"/>
                <w:b/>
                <w:sz w:val="20"/>
                <w:szCs w:val="20"/>
              </w:rPr>
              <w:t>East Midlands Ambulance Service</w:t>
            </w:r>
            <w:r w:rsidR="00390412">
              <w:rPr>
                <w:rFonts w:ascii="Calibri" w:hAnsi="Calibri" w:cs="Calibri"/>
                <w:b/>
                <w:sz w:val="20"/>
                <w:szCs w:val="20"/>
              </w:rPr>
              <w:t xml:space="preserve"> (EMAS)</w:t>
            </w:r>
            <w:r>
              <w:rPr>
                <w:rFonts w:ascii="Calibri" w:hAnsi="Calibri" w:cs="Calibri"/>
                <w:b/>
                <w:sz w:val="20"/>
                <w:szCs w:val="20"/>
              </w:rPr>
              <w:t xml:space="preserve">: </w:t>
            </w:r>
            <w:r>
              <w:rPr>
                <w:rFonts w:ascii="Calibri" w:hAnsi="Calibri" w:cs="Calibri"/>
                <w:sz w:val="20"/>
                <w:szCs w:val="20"/>
              </w:rPr>
              <w:t xml:space="preserve">The </w:t>
            </w:r>
            <w:r w:rsidR="00390412">
              <w:rPr>
                <w:rFonts w:ascii="Calibri" w:hAnsi="Calibri" w:cs="Calibri"/>
                <w:sz w:val="20"/>
                <w:szCs w:val="20"/>
              </w:rPr>
              <w:t xml:space="preserve">contract value for all 23 CCGs that contract with the Trust has now been agreed, however </w:t>
            </w:r>
            <w:r w:rsidR="00390412" w:rsidRPr="00390412">
              <w:rPr>
                <w:rFonts w:asciiTheme="minorHAnsi" w:hAnsiTheme="minorHAnsi" w:cstheme="minorHAnsi"/>
                <w:sz w:val="20"/>
                <w:szCs w:val="20"/>
              </w:rPr>
              <w:t xml:space="preserve">the exact figure for NEL </w:t>
            </w:r>
            <w:r w:rsidR="00390412">
              <w:rPr>
                <w:rFonts w:asciiTheme="minorHAnsi" w:hAnsiTheme="minorHAnsi" w:cstheme="minorHAnsi"/>
                <w:sz w:val="20"/>
                <w:szCs w:val="20"/>
              </w:rPr>
              <w:t xml:space="preserve">will not be known </w:t>
            </w:r>
            <w:r w:rsidR="00390412" w:rsidRPr="00390412">
              <w:rPr>
                <w:rFonts w:asciiTheme="minorHAnsi" w:hAnsiTheme="minorHAnsi" w:cstheme="minorHAnsi"/>
                <w:sz w:val="20"/>
                <w:szCs w:val="20"/>
              </w:rPr>
              <w:t>until EMA</w:t>
            </w:r>
            <w:r w:rsidR="00390412">
              <w:rPr>
                <w:rFonts w:asciiTheme="minorHAnsi" w:hAnsiTheme="minorHAnsi" w:cstheme="minorHAnsi"/>
                <w:sz w:val="20"/>
                <w:szCs w:val="20"/>
              </w:rPr>
              <w:t>S</w:t>
            </w:r>
            <w:r w:rsidR="00390412" w:rsidRPr="00390412">
              <w:rPr>
                <w:rFonts w:asciiTheme="minorHAnsi" w:hAnsiTheme="minorHAnsi" w:cstheme="minorHAnsi"/>
                <w:sz w:val="20"/>
                <w:szCs w:val="20"/>
              </w:rPr>
              <w:t xml:space="preserve"> breakdown the figures</w:t>
            </w:r>
            <w:r w:rsidR="00644ECC">
              <w:rPr>
                <w:rFonts w:asciiTheme="minorHAnsi" w:hAnsiTheme="minorHAnsi" w:cstheme="minorHAnsi"/>
                <w:sz w:val="20"/>
                <w:szCs w:val="20"/>
              </w:rPr>
              <w:t xml:space="preserve"> by CCG</w:t>
            </w:r>
            <w:r w:rsidR="00390412">
              <w:rPr>
                <w:rFonts w:asciiTheme="minorHAnsi" w:hAnsiTheme="minorHAnsi" w:cstheme="minorHAnsi"/>
                <w:sz w:val="20"/>
                <w:szCs w:val="20"/>
              </w:rPr>
              <w:t xml:space="preserve">. </w:t>
            </w:r>
            <w:r w:rsidR="00390412" w:rsidRPr="00390412">
              <w:rPr>
                <w:rFonts w:asciiTheme="minorHAnsi" w:hAnsiTheme="minorHAnsi" w:cstheme="minorHAnsi"/>
                <w:sz w:val="20"/>
                <w:szCs w:val="20"/>
              </w:rPr>
              <w:t xml:space="preserve"> </w:t>
            </w:r>
            <w:r w:rsidR="00EC7E7C">
              <w:rPr>
                <w:rFonts w:asciiTheme="minorHAnsi" w:hAnsiTheme="minorHAnsi" w:cstheme="minorHAnsi"/>
                <w:sz w:val="20"/>
                <w:szCs w:val="20"/>
              </w:rPr>
              <w:t>However</w:t>
            </w:r>
            <w:r w:rsidR="00390412">
              <w:rPr>
                <w:rFonts w:asciiTheme="minorHAnsi" w:hAnsiTheme="minorHAnsi" w:cstheme="minorHAnsi"/>
                <w:sz w:val="20"/>
                <w:szCs w:val="20"/>
              </w:rPr>
              <w:t xml:space="preserve"> the </w:t>
            </w:r>
            <w:r>
              <w:rPr>
                <w:rFonts w:ascii="Calibri" w:hAnsi="Calibri" w:cs="Calibri"/>
                <w:sz w:val="20"/>
                <w:szCs w:val="20"/>
              </w:rPr>
              <w:t>final contract value</w:t>
            </w:r>
            <w:r w:rsidR="00DB554E">
              <w:rPr>
                <w:rFonts w:ascii="Calibri" w:hAnsi="Calibri" w:cs="Calibri"/>
                <w:sz w:val="20"/>
                <w:szCs w:val="20"/>
              </w:rPr>
              <w:t xml:space="preserve"> </w:t>
            </w:r>
            <w:r w:rsidR="00390412">
              <w:rPr>
                <w:rFonts w:ascii="Calibri" w:hAnsi="Calibri" w:cs="Calibri"/>
                <w:sz w:val="20"/>
                <w:szCs w:val="20"/>
              </w:rPr>
              <w:t xml:space="preserve">for NEL </w:t>
            </w:r>
            <w:r w:rsidR="00DB554E">
              <w:rPr>
                <w:rFonts w:ascii="Calibri" w:hAnsi="Calibri" w:cs="Calibri"/>
                <w:sz w:val="20"/>
                <w:szCs w:val="20"/>
              </w:rPr>
              <w:t xml:space="preserve">is </w:t>
            </w:r>
            <w:r w:rsidR="00390412">
              <w:rPr>
                <w:rFonts w:ascii="Calibri" w:hAnsi="Calibri" w:cs="Calibri"/>
                <w:sz w:val="20"/>
                <w:szCs w:val="20"/>
              </w:rPr>
              <w:t xml:space="preserve">likely to be </w:t>
            </w:r>
            <w:r w:rsidR="00DB554E">
              <w:rPr>
                <w:rFonts w:ascii="Calibri" w:hAnsi="Calibri" w:cs="Calibri"/>
                <w:sz w:val="20"/>
                <w:szCs w:val="20"/>
              </w:rPr>
              <w:t>between £6.3</w:t>
            </w:r>
            <w:r w:rsidR="00390412">
              <w:rPr>
                <w:rFonts w:ascii="Calibri" w:hAnsi="Calibri" w:cs="Calibri"/>
                <w:sz w:val="20"/>
                <w:szCs w:val="20"/>
              </w:rPr>
              <w:t>m</w:t>
            </w:r>
            <w:r w:rsidR="00DB554E">
              <w:rPr>
                <w:rFonts w:ascii="Calibri" w:hAnsi="Calibri" w:cs="Calibri"/>
                <w:sz w:val="20"/>
                <w:szCs w:val="20"/>
              </w:rPr>
              <w:t>-£6.4m</w:t>
            </w:r>
            <w:r w:rsidR="00BB4006">
              <w:rPr>
                <w:rFonts w:ascii="Calibri" w:hAnsi="Calibri" w:cs="Calibri"/>
                <w:sz w:val="20"/>
                <w:szCs w:val="20"/>
              </w:rPr>
              <w:t>, this is £500k above the value quoted in the March board report. We had £200k ring-fenced in an activity reserve resulting in a £300</w:t>
            </w:r>
            <w:r w:rsidR="00471BB9">
              <w:rPr>
                <w:rFonts w:ascii="Calibri" w:hAnsi="Calibri" w:cs="Calibri"/>
                <w:sz w:val="20"/>
                <w:szCs w:val="20"/>
              </w:rPr>
              <w:t>k cost pressure.</w:t>
            </w:r>
          </w:p>
          <w:p w:rsidR="00471BB9" w:rsidRDefault="00471BB9" w:rsidP="00DE3799">
            <w:pPr>
              <w:pStyle w:val="Default"/>
              <w:jc w:val="both"/>
              <w:rPr>
                <w:rFonts w:ascii="Calibri" w:hAnsi="Calibri" w:cs="Calibri"/>
                <w:sz w:val="20"/>
                <w:szCs w:val="20"/>
              </w:rPr>
            </w:pPr>
          </w:p>
          <w:p w:rsidR="001B0704" w:rsidRDefault="00471BB9" w:rsidP="00DE3799">
            <w:pPr>
              <w:pStyle w:val="Default"/>
              <w:jc w:val="both"/>
              <w:rPr>
                <w:rFonts w:ascii="Calibri" w:hAnsi="Calibri" w:cs="Calibri"/>
                <w:sz w:val="20"/>
                <w:szCs w:val="20"/>
              </w:rPr>
            </w:pPr>
            <w:r w:rsidRPr="00471BB9">
              <w:rPr>
                <w:rFonts w:ascii="Calibri" w:hAnsi="Calibri" w:cs="Calibri"/>
                <w:b/>
                <w:sz w:val="20"/>
                <w:szCs w:val="20"/>
              </w:rPr>
              <w:t>QIPP 19/20</w:t>
            </w:r>
            <w:r w:rsidR="006C466D">
              <w:rPr>
                <w:rFonts w:ascii="Calibri" w:hAnsi="Calibri" w:cs="Calibri"/>
                <w:b/>
                <w:sz w:val="20"/>
                <w:szCs w:val="20"/>
              </w:rPr>
              <w:t xml:space="preserve">; </w:t>
            </w:r>
            <w:r w:rsidR="006C466D" w:rsidRPr="006C466D">
              <w:rPr>
                <w:rFonts w:ascii="Calibri" w:hAnsi="Calibri" w:cs="Calibri"/>
                <w:sz w:val="20"/>
                <w:szCs w:val="20"/>
              </w:rPr>
              <w:t>The level of un</w:t>
            </w:r>
            <w:r w:rsidR="006C466D">
              <w:rPr>
                <w:rFonts w:ascii="Calibri" w:hAnsi="Calibri" w:cs="Calibri"/>
                <w:sz w:val="20"/>
                <w:szCs w:val="20"/>
              </w:rPr>
              <w:t>ide</w:t>
            </w:r>
            <w:r w:rsidR="006C466D" w:rsidRPr="006C466D">
              <w:rPr>
                <w:rFonts w:ascii="Calibri" w:hAnsi="Calibri" w:cs="Calibri"/>
                <w:sz w:val="20"/>
                <w:szCs w:val="20"/>
              </w:rPr>
              <w:t xml:space="preserve">ntified QIPP </w:t>
            </w:r>
            <w:r w:rsidR="006C466D">
              <w:rPr>
                <w:rFonts w:ascii="Calibri" w:hAnsi="Calibri" w:cs="Calibri"/>
                <w:sz w:val="20"/>
                <w:szCs w:val="20"/>
              </w:rPr>
              <w:t>has reduced to £17k (</w:t>
            </w:r>
            <w:r w:rsidR="006C466D" w:rsidRPr="006C466D">
              <w:rPr>
                <w:rFonts w:ascii="Calibri" w:hAnsi="Calibri" w:cs="Calibri"/>
                <w:sz w:val="20"/>
                <w:szCs w:val="20"/>
              </w:rPr>
              <w:t xml:space="preserve">£767k </w:t>
            </w:r>
            <w:r w:rsidR="006C466D">
              <w:rPr>
                <w:rFonts w:ascii="Calibri" w:hAnsi="Calibri" w:cs="Calibri"/>
                <w:sz w:val="20"/>
                <w:szCs w:val="20"/>
              </w:rPr>
              <w:t xml:space="preserve">at budget sign off). Appendix i provides further detail. </w:t>
            </w:r>
          </w:p>
          <w:p w:rsidR="005318DA" w:rsidRDefault="005318DA" w:rsidP="00DE3799">
            <w:pPr>
              <w:pStyle w:val="Default"/>
              <w:jc w:val="both"/>
              <w:rPr>
                <w:rFonts w:ascii="Calibri" w:hAnsi="Calibri" w:cs="Calibri"/>
                <w:sz w:val="20"/>
                <w:szCs w:val="20"/>
              </w:rPr>
            </w:pPr>
            <w:r w:rsidRPr="005318DA">
              <w:rPr>
                <w:rFonts w:ascii="Calibri" w:hAnsi="Calibri" w:cs="Calibri"/>
                <w:sz w:val="20"/>
                <w:szCs w:val="20"/>
              </w:rPr>
              <w:t>Updates on the schemes:</w:t>
            </w:r>
          </w:p>
          <w:p w:rsidR="005B560F" w:rsidRPr="005B560F" w:rsidRDefault="005B560F" w:rsidP="00DE3799">
            <w:pPr>
              <w:pStyle w:val="Default"/>
              <w:jc w:val="both"/>
              <w:rPr>
                <w:rFonts w:ascii="Calibri" w:hAnsi="Calibri" w:cs="Calibri"/>
                <w:b/>
                <w:sz w:val="20"/>
                <w:szCs w:val="20"/>
                <w:u w:val="single"/>
              </w:rPr>
            </w:pPr>
            <w:r w:rsidRPr="005B560F">
              <w:rPr>
                <w:rFonts w:ascii="Calibri" w:hAnsi="Calibri" w:cs="Calibri"/>
                <w:b/>
                <w:sz w:val="20"/>
                <w:szCs w:val="20"/>
                <w:u w:val="single"/>
              </w:rPr>
              <w:t>Health</w:t>
            </w:r>
            <w:r w:rsidRPr="005B560F">
              <w:rPr>
                <w:rFonts w:ascii="Calibri" w:hAnsi="Calibri" w:cs="Calibri"/>
                <w:b/>
                <w:sz w:val="20"/>
                <w:szCs w:val="20"/>
              </w:rPr>
              <w:t>;</w:t>
            </w:r>
          </w:p>
          <w:p w:rsidR="005318DA" w:rsidRDefault="005318DA" w:rsidP="006C466D">
            <w:pPr>
              <w:pStyle w:val="Default"/>
              <w:numPr>
                <w:ilvl w:val="0"/>
                <w:numId w:val="13"/>
              </w:numPr>
              <w:jc w:val="both"/>
              <w:rPr>
                <w:rFonts w:ascii="Calibri" w:hAnsi="Calibri" w:cs="Calibri"/>
                <w:sz w:val="20"/>
                <w:szCs w:val="20"/>
              </w:rPr>
            </w:pPr>
            <w:r w:rsidRPr="005318DA">
              <w:rPr>
                <w:rFonts w:ascii="Calibri" w:hAnsi="Calibri" w:cs="Calibri"/>
                <w:b/>
                <w:sz w:val="20"/>
                <w:szCs w:val="20"/>
              </w:rPr>
              <w:t>Prescribing:</w:t>
            </w:r>
            <w:r>
              <w:rPr>
                <w:rFonts w:ascii="Calibri" w:hAnsi="Calibri" w:cs="Calibri"/>
                <w:sz w:val="20"/>
                <w:szCs w:val="20"/>
              </w:rPr>
              <w:t xml:space="preserve"> There are a number of schemes which contribute to the </w:t>
            </w:r>
            <w:r w:rsidR="009707A9">
              <w:rPr>
                <w:rFonts w:ascii="Calibri" w:hAnsi="Calibri" w:cs="Calibri"/>
                <w:sz w:val="20"/>
                <w:szCs w:val="20"/>
              </w:rPr>
              <w:t xml:space="preserve">overall </w:t>
            </w:r>
            <w:r w:rsidR="006C466D">
              <w:rPr>
                <w:rFonts w:ascii="Calibri" w:hAnsi="Calibri" w:cs="Calibri"/>
                <w:sz w:val="20"/>
                <w:szCs w:val="20"/>
              </w:rPr>
              <w:t>planned</w:t>
            </w:r>
            <w:r>
              <w:rPr>
                <w:rFonts w:ascii="Calibri" w:hAnsi="Calibri" w:cs="Calibri"/>
                <w:sz w:val="20"/>
                <w:szCs w:val="20"/>
              </w:rPr>
              <w:t xml:space="preserve"> QIPP</w:t>
            </w:r>
            <w:r w:rsidR="006C466D">
              <w:rPr>
                <w:rFonts w:ascii="Calibri" w:hAnsi="Calibri" w:cs="Calibri"/>
                <w:sz w:val="20"/>
                <w:szCs w:val="20"/>
              </w:rPr>
              <w:t xml:space="preserve"> of £650k. A</w:t>
            </w:r>
            <w:r>
              <w:rPr>
                <w:rFonts w:ascii="Calibri" w:hAnsi="Calibri" w:cs="Calibri"/>
                <w:sz w:val="20"/>
                <w:szCs w:val="20"/>
              </w:rPr>
              <w:t>ction plans have been developed for these by NECS</w:t>
            </w:r>
            <w:r w:rsidR="009707A9">
              <w:rPr>
                <w:rFonts w:ascii="Calibri" w:hAnsi="Calibri" w:cs="Calibri"/>
                <w:sz w:val="20"/>
                <w:szCs w:val="20"/>
              </w:rPr>
              <w:t xml:space="preserve"> (North East Commissioning Support)</w:t>
            </w:r>
            <w:r w:rsidR="006C466D">
              <w:rPr>
                <w:rFonts w:ascii="Calibri" w:hAnsi="Calibri" w:cs="Calibri"/>
                <w:sz w:val="20"/>
                <w:szCs w:val="20"/>
              </w:rPr>
              <w:t xml:space="preserve"> which have been signed off by the CCG.</w:t>
            </w:r>
          </w:p>
          <w:p w:rsidR="005318DA" w:rsidRDefault="005318DA" w:rsidP="00461F5E">
            <w:pPr>
              <w:pStyle w:val="Default"/>
              <w:numPr>
                <w:ilvl w:val="0"/>
                <w:numId w:val="13"/>
              </w:numPr>
              <w:jc w:val="both"/>
              <w:rPr>
                <w:rFonts w:ascii="Calibri" w:hAnsi="Calibri" w:cs="Calibri"/>
                <w:sz w:val="20"/>
                <w:szCs w:val="20"/>
              </w:rPr>
            </w:pPr>
            <w:r w:rsidRPr="005318DA">
              <w:rPr>
                <w:rFonts w:ascii="Calibri" w:hAnsi="Calibri" w:cs="Calibri"/>
                <w:b/>
                <w:sz w:val="20"/>
                <w:szCs w:val="20"/>
              </w:rPr>
              <w:t>Nurse Prescribing</w:t>
            </w:r>
            <w:r w:rsidRPr="00461F5E">
              <w:rPr>
                <w:rFonts w:ascii="Calibri" w:hAnsi="Calibri" w:cs="Calibri"/>
                <w:sz w:val="20"/>
                <w:szCs w:val="20"/>
              </w:rPr>
              <w:t xml:space="preserve">: </w:t>
            </w:r>
            <w:r w:rsidR="00461F5E">
              <w:rPr>
                <w:rFonts w:ascii="Calibri" w:hAnsi="Calibri" w:cs="Calibri"/>
                <w:sz w:val="20"/>
                <w:szCs w:val="20"/>
              </w:rPr>
              <w:t>This relates to the cost of drugs that nurse prescribers employed by Care Plus Group prescribe. Currently these prescribing costs sit outside of the Care Plus Group Contract and last year the budget overspent. Discussions have started with Care Plus</w:t>
            </w:r>
            <w:r w:rsidR="001B0704">
              <w:rPr>
                <w:rFonts w:ascii="Calibri" w:hAnsi="Calibri" w:cs="Calibri"/>
                <w:sz w:val="20"/>
                <w:szCs w:val="20"/>
              </w:rPr>
              <w:t xml:space="preserve"> Group</w:t>
            </w:r>
            <w:r w:rsidR="00461F5E">
              <w:rPr>
                <w:rFonts w:ascii="Calibri" w:hAnsi="Calibri" w:cs="Calibri"/>
                <w:sz w:val="20"/>
                <w:szCs w:val="20"/>
              </w:rPr>
              <w:t xml:space="preserve"> </w:t>
            </w:r>
            <w:r w:rsidR="001B0704">
              <w:rPr>
                <w:rFonts w:ascii="Calibri" w:hAnsi="Calibri" w:cs="Calibri"/>
                <w:sz w:val="20"/>
                <w:szCs w:val="20"/>
              </w:rPr>
              <w:t>regarding</w:t>
            </w:r>
            <w:r w:rsidR="00461F5E">
              <w:rPr>
                <w:rFonts w:ascii="Calibri" w:hAnsi="Calibri" w:cs="Calibri"/>
                <w:sz w:val="20"/>
                <w:szCs w:val="20"/>
              </w:rPr>
              <w:t xml:space="preserve"> managing this budget more effectively in 2019/20, with the aim of bringing spend down to 2017/18 levels.</w:t>
            </w:r>
          </w:p>
          <w:p w:rsidR="005318DA" w:rsidRDefault="005318DA" w:rsidP="00461F5E">
            <w:pPr>
              <w:pStyle w:val="Default"/>
              <w:numPr>
                <w:ilvl w:val="0"/>
                <w:numId w:val="13"/>
              </w:numPr>
              <w:jc w:val="both"/>
              <w:rPr>
                <w:rFonts w:ascii="Calibri" w:hAnsi="Calibri" w:cs="Calibri"/>
                <w:sz w:val="20"/>
                <w:szCs w:val="20"/>
              </w:rPr>
            </w:pPr>
            <w:r w:rsidRPr="005318DA">
              <w:rPr>
                <w:rFonts w:ascii="Calibri" w:hAnsi="Calibri" w:cs="Calibri"/>
                <w:b/>
                <w:sz w:val="20"/>
                <w:szCs w:val="20"/>
              </w:rPr>
              <w:t>C</w:t>
            </w:r>
            <w:r w:rsidR="00461F5E">
              <w:rPr>
                <w:rFonts w:ascii="Calibri" w:hAnsi="Calibri" w:cs="Calibri"/>
                <w:b/>
                <w:sz w:val="20"/>
                <w:szCs w:val="20"/>
              </w:rPr>
              <w:t xml:space="preserve">ontinuing </w:t>
            </w:r>
            <w:r w:rsidRPr="005318DA">
              <w:rPr>
                <w:rFonts w:ascii="Calibri" w:hAnsi="Calibri" w:cs="Calibri"/>
                <w:b/>
                <w:sz w:val="20"/>
                <w:szCs w:val="20"/>
              </w:rPr>
              <w:t>H</w:t>
            </w:r>
            <w:r w:rsidR="00461F5E">
              <w:rPr>
                <w:rFonts w:ascii="Calibri" w:hAnsi="Calibri" w:cs="Calibri"/>
                <w:b/>
                <w:sz w:val="20"/>
                <w:szCs w:val="20"/>
              </w:rPr>
              <w:t xml:space="preserve">ealth </w:t>
            </w:r>
            <w:r w:rsidRPr="005318DA">
              <w:rPr>
                <w:rFonts w:ascii="Calibri" w:hAnsi="Calibri" w:cs="Calibri"/>
                <w:b/>
                <w:sz w:val="20"/>
                <w:szCs w:val="20"/>
              </w:rPr>
              <w:t>C</w:t>
            </w:r>
            <w:r w:rsidR="00461F5E">
              <w:rPr>
                <w:rFonts w:ascii="Calibri" w:hAnsi="Calibri" w:cs="Calibri"/>
                <w:b/>
                <w:sz w:val="20"/>
                <w:szCs w:val="20"/>
              </w:rPr>
              <w:t>are (CHC)</w:t>
            </w:r>
            <w:r w:rsidRPr="005318DA">
              <w:rPr>
                <w:rFonts w:ascii="Calibri" w:hAnsi="Calibri" w:cs="Calibri"/>
                <w:b/>
                <w:sz w:val="20"/>
                <w:szCs w:val="20"/>
              </w:rPr>
              <w:t>:</w:t>
            </w:r>
            <w:r>
              <w:rPr>
                <w:rFonts w:ascii="Calibri" w:hAnsi="Calibri" w:cs="Calibri"/>
                <w:b/>
                <w:sz w:val="20"/>
                <w:szCs w:val="20"/>
              </w:rPr>
              <w:t xml:space="preserve"> </w:t>
            </w:r>
            <w:r>
              <w:rPr>
                <w:rFonts w:ascii="Calibri" w:hAnsi="Calibri" w:cs="Calibri"/>
                <w:sz w:val="20"/>
                <w:szCs w:val="20"/>
              </w:rPr>
              <w:t xml:space="preserve">The CHC team has performed a review </w:t>
            </w:r>
            <w:r w:rsidR="00733254">
              <w:rPr>
                <w:rFonts w:ascii="Calibri" w:hAnsi="Calibri" w:cs="Calibri"/>
                <w:sz w:val="20"/>
                <w:szCs w:val="20"/>
              </w:rPr>
              <w:t>of the</w:t>
            </w:r>
            <w:r>
              <w:rPr>
                <w:rFonts w:ascii="Calibri" w:hAnsi="Calibri" w:cs="Calibri"/>
                <w:sz w:val="20"/>
                <w:szCs w:val="20"/>
              </w:rPr>
              <w:t xml:space="preserve"> high cost </w:t>
            </w:r>
            <w:r>
              <w:rPr>
                <w:rFonts w:ascii="Calibri" w:hAnsi="Calibri" w:cs="Calibri"/>
                <w:sz w:val="20"/>
                <w:szCs w:val="20"/>
              </w:rPr>
              <w:lastRenderedPageBreak/>
              <w:t xml:space="preserve">packages of care and </w:t>
            </w:r>
            <w:r w:rsidR="006D0322">
              <w:rPr>
                <w:rFonts w:ascii="Calibri" w:hAnsi="Calibri" w:cs="Calibri"/>
                <w:sz w:val="20"/>
                <w:szCs w:val="20"/>
              </w:rPr>
              <w:t xml:space="preserve">highlighted where there are opportunities to get better value for money by switching providers. The detailed </w:t>
            </w:r>
            <w:r w:rsidR="00733254">
              <w:rPr>
                <w:rFonts w:ascii="Calibri" w:hAnsi="Calibri" w:cs="Calibri"/>
                <w:sz w:val="20"/>
                <w:szCs w:val="20"/>
              </w:rPr>
              <w:t>assessments</w:t>
            </w:r>
            <w:r w:rsidR="006D0322">
              <w:rPr>
                <w:rFonts w:ascii="Calibri" w:hAnsi="Calibri" w:cs="Calibri"/>
                <w:sz w:val="20"/>
                <w:szCs w:val="20"/>
              </w:rPr>
              <w:t xml:space="preserve"> have already started to take place.</w:t>
            </w:r>
          </w:p>
          <w:p w:rsidR="00042DDB" w:rsidRDefault="006D0322" w:rsidP="00461F5E">
            <w:pPr>
              <w:pStyle w:val="Default"/>
              <w:numPr>
                <w:ilvl w:val="0"/>
                <w:numId w:val="13"/>
              </w:numPr>
              <w:jc w:val="both"/>
              <w:rPr>
                <w:rFonts w:ascii="Calibri" w:hAnsi="Calibri" w:cs="Calibri"/>
                <w:sz w:val="20"/>
                <w:szCs w:val="20"/>
              </w:rPr>
            </w:pPr>
            <w:r w:rsidRPr="006D0322">
              <w:rPr>
                <w:rFonts w:ascii="Calibri" w:hAnsi="Calibri" w:cs="Calibri"/>
                <w:b/>
                <w:sz w:val="20"/>
                <w:szCs w:val="20"/>
              </w:rPr>
              <w:t>Prima</w:t>
            </w:r>
            <w:r>
              <w:rPr>
                <w:rFonts w:ascii="Calibri" w:hAnsi="Calibri" w:cs="Calibri"/>
                <w:b/>
                <w:sz w:val="20"/>
                <w:szCs w:val="20"/>
              </w:rPr>
              <w:t>r</w:t>
            </w:r>
            <w:r w:rsidRPr="006D0322">
              <w:rPr>
                <w:rFonts w:ascii="Calibri" w:hAnsi="Calibri" w:cs="Calibri"/>
                <w:b/>
                <w:sz w:val="20"/>
                <w:szCs w:val="20"/>
              </w:rPr>
              <w:t>y Care Premises</w:t>
            </w:r>
            <w:r>
              <w:rPr>
                <w:rFonts w:ascii="Calibri" w:hAnsi="Calibri" w:cs="Calibri"/>
                <w:sz w:val="20"/>
                <w:szCs w:val="20"/>
              </w:rPr>
              <w:t xml:space="preserve">: </w:t>
            </w:r>
            <w:r w:rsidR="00042DDB">
              <w:rPr>
                <w:rFonts w:ascii="Calibri" w:hAnsi="Calibri" w:cs="Calibri"/>
                <w:sz w:val="20"/>
                <w:szCs w:val="20"/>
              </w:rPr>
              <w:t>The 3 areas of focus being:-</w:t>
            </w:r>
          </w:p>
          <w:p w:rsidR="00042DDB" w:rsidRDefault="00042DDB" w:rsidP="00042DDB">
            <w:pPr>
              <w:pStyle w:val="Default"/>
              <w:numPr>
                <w:ilvl w:val="0"/>
                <w:numId w:val="14"/>
              </w:numPr>
              <w:jc w:val="both"/>
              <w:rPr>
                <w:rFonts w:ascii="Calibri" w:hAnsi="Calibri" w:cs="Calibri"/>
                <w:sz w:val="20"/>
                <w:szCs w:val="20"/>
              </w:rPr>
            </w:pPr>
            <w:r>
              <w:rPr>
                <w:rFonts w:ascii="Calibri" w:hAnsi="Calibri" w:cs="Calibri"/>
                <w:sz w:val="20"/>
                <w:szCs w:val="20"/>
              </w:rPr>
              <w:t xml:space="preserve">Ensuring appropriate levels of recharge </w:t>
            </w:r>
            <w:r w:rsidR="006D0322" w:rsidRPr="00E04F05">
              <w:rPr>
                <w:rFonts w:ascii="Calibri" w:hAnsi="Calibri" w:cs="Calibri"/>
                <w:sz w:val="20"/>
                <w:szCs w:val="20"/>
              </w:rPr>
              <w:t xml:space="preserve">to </w:t>
            </w:r>
            <w:r w:rsidR="00E04F05">
              <w:rPr>
                <w:rFonts w:ascii="Calibri" w:hAnsi="Calibri" w:cs="Calibri"/>
                <w:sz w:val="20"/>
                <w:szCs w:val="20"/>
              </w:rPr>
              <w:t xml:space="preserve">non GP </w:t>
            </w:r>
            <w:r w:rsidR="006D0322" w:rsidRPr="00E04F05">
              <w:rPr>
                <w:rFonts w:ascii="Calibri" w:hAnsi="Calibri" w:cs="Calibri"/>
                <w:sz w:val="20"/>
                <w:szCs w:val="20"/>
              </w:rPr>
              <w:t>occupants</w:t>
            </w:r>
            <w:r w:rsidR="00E04F05">
              <w:rPr>
                <w:rFonts w:ascii="Calibri" w:hAnsi="Calibri" w:cs="Calibri"/>
                <w:sz w:val="20"/>
                <w:szCs w:val="20"/>
              </w:rPr>
              <w:t xml:space="preserve"> of these premises</w:t>
            </w:r>
            <w:r w:rsidR="006D0322" w:rsidRPr="00E04F05">
              <w:rPr>
                <w:rFonts w:ascii="Calibri" w:hAnsi="Calibri" w:cs="Calibri"/>
                <w:sz w:val="20"/>
                <w:szCs w:val="20"/>
              </w:rPr>
              <w:t xml:space="preserve">. </w:t>
            </w:r>
          </w:p>
          <w:p w:rsidR="00042DDB" w:rsidRDefault="00042DDB" w:rsidP="00042DDB">
            <w:pPr>
              <w:pStyle w:val="Default"/>
              <w:numPr>
                <w:ilvl w:val="0"/>
                <w:numId w:val="14"/>
              </w:numPr>
              <w:jc w:val="both"/>
              <w:rPr>
                <w:rFonts w:ascii="Calibri" w:hAnsi="Calibri" w:cs="Calibri"/>
                <w:sz w:val="20"/>
                <w:szCs w:val="20"/>
              </w:rPr>
            </w:pPr>
            <w:r>
              <w:rPr>
                <w:rFonts w:ascii="Calibri" w:hAnsi="Calibri" w:cs="Calibri"/>
                <w:sz w:val="20"/>
                <w:szCs w:val="20"/>
              </w:rPr>
              <w:t xml:space="preserve">Improved utilisation of Primary Care Estate </w:t>
            </w:r>
          </w:p>
          <w:p w:rsidR="006D0322" w:rsidRPr="00E04F05" w:rsidRDefault="00042DDB" w:rsidP="00042DDB">
            <w:pPr>
              <w:pStyle w:val="Default"/>
              <w:numPr>
                <w:ilvl w:val="0"/>
                <w:numId w:val="14"/>
              </w:numPr>
              <w:jc w:val="both"/>
              <w:rPr>
                <w:rFonts w:ascii="Calibri" w:hAnsi="Calibri" w:cs="Calibri"/>
                <w:sz w:val="20"/>
                <w:szCs w:val="20"/>
              </w:rPr>
            </w:pPr>
            <w:r>
              <w:rPr>
                <w:rFonts w:ascii="Calibri" w:hAnsi="Calibri" w:cs="Calibri"/>
                <w:sz w:val="20"/>
                <w:szCs w:val="20"/>
              </w:rPr>
              <w:t>Ensuring costs in relation to Repairs, service charges</w:t>
            </w:r>
            <w:r w:rsidR="001B0704">
              <w:rPr>
                <w:rFonts w:ascii="Calibri" w:hAnsi="Calibri" w:cs="Calibri"/>
                <w:sz w:val="20"/>
                <w:szCs w:val="20"/>
              </w:rPr>
              <w:t xml:space="preserve"> etc</w:t>
            </w:r>
            <w:r>
              <w:rPr>
                <w:rFonts w:ascii="Calibri" w:hAnsi="Calibri" w:cs="Calibri"/>
                <w:sz w:val="20"/>
                <w:szCs w:val="20"/>
              </w:rPr>
              <w:t xml:space="preserve"> are cost efficient &amp; offer value for money</w:t>
            </w:r>
          </w:p>
          <w:p w:rsidR="00AE7054" w:rsidRDefault="006D0322" w:rsidP="005870DA">
            <w:pPr>
              <w:pStyle w:val="Default"/>
              <w:numPr>
                <w:ilvl w:val="0"/>
                <w:numId w:val="13"/>
              </w:numPr>
              <w:jc w:val="both"/>
              <w:rPr>
                <w:rFonts w:ascii="Calibri" w:hAnsi="Calibri" w:cs="Calibri"/>
                <w:sz w:val="20"/>
                <w:szCs w:val="20"/>
              </w:rPr>
            </w:pPr>
            <w:r w:rsidRPr="00AE7054">
              <w:rPr>
                <w:rFonts w:ascii="Calibri" w:hAnsi="Calibri" w:cs="Calibri"/>
                <w:b/>
                <w:sz w:val="20"/>
                <w:szCs w:val="20"/>
              </w:rPr>
              <w:t>Primary care:</w:t>
            </w:r>
            <w:r w:rsidRPr="00AE7054">
              <w:rPr>
                <w:rFonts w:ascii="Calibri" w:hAnsi="Calibri" w:cs="Calibri"/>
                <w:sz w:val="20"/>
                <w:szCs w:val="20"/>
              </w:rPr>
              <w:t xml:space="preserve"> </w:t>
            </w:r>
            <w:r w:rsidR="00AE7054">
              <w:rPr>
                <w:rFonts w:ascii="Calibri" w:hAnsi="Calibri" w:cs="Calibri"/>
                <w:sz w:val="20"/>
                <w:szCs w:val="20"/>
              </w:rPr>
              <w:t>Outline schemes / areas of focus have been identified, these are:-</w:t>
            </w:r>
          </w:p>
          <w:p w:rsidR="00AE7054" w:rsidRDefault="00AE7054" w:rsidP="00AE7054">
            <w:pPr>
              <w:pStyle w:val="Default"/>
              <w:numPr>
                <w:ilvl w:val="0"/>
                <w:numId w:val="17"/>
              </w:numPr>
              <w:jc w:val="both"/>
              <w:rPr>
                <w:rFonts w:ascii="Calibri" w:hAnsi="Calibri" w:cs="Calibri"/>
                <w:sz w:val="20"/>
                <w:szCs w:val="20"/>
              </w:rPr>
            </w:pPr>
            <w:r>
              <w:rPr>
                <w:rFonts w:ascii="Calibri" w:hAnsi="Calibri" w:cs="Calibri"/>
                <w:sz w:val="20"/>
                <w:szCs w:val="20"/>
              </w:rPr>
              <w:t>Maximising the system benefit of shared care</w:t>
            </w:r>
          </w:p>
          <w:p w:rsidR="00AE7054" w:rsidRPr="00AE7054" w:rsidRDefault="00AE7054" w:rsidP="00AE7054">
            <w:pPr>
              <w:pStyle w:val="Default"/>
              <w:numPr>
                <w:ilvl w:val="0"/>
                <w:numId w:val="17"/>
              </w:numPr>
              <w:jc w:val="both"/>
              <w:rPr>
                <w:rFonts w:ascii="Calibri" w:hAnsi="Calibri" w:cs="Calibri"/>
                <w:sz w:val="20"/>
                <w:szCs w:val="20"/>
              </w:rPr>
            </w:pPr>
            <w:r>
              <w:rPr>
                <w:rFonts w:ascii="Calibri" w:hAnsi="Calibri" w:cs="Calibri"/>
                <w:sz w:val="20"/>
                <w:szCs w:val="20"/>
              </w:rPr>
              <w:t xml:space="preserve">Assumed slippage </w:t>
            </w:r>
            <w:r w:rsidRPr="00AE7054">
              <w:rPr>
                <w:rFonts w:ascii="Calibri" w:hAnsi="Calibri" w:cs="Calibri"/>
                <w:sz w:val="20"/>
              </w:rPr>
              <w:t>in recruiting to PCN additional staffing  (£247K total funding)</w:t>
            </w:r>
          </w:p>
          <w:p w:rsidR="00AE7054" w:rsidRPr="00AE7054" w:rsidRDefault="00AE7054" w:rsidP="00AE7054">
            <w:pPr>
              <w:pStyle w:val="Default"/>
              <w:numPr>
                <w:ilvl w:val="0"/>
                <w:numId w:val="17"/>
              </w:numPr>
              <w:jc w:val="both"/>
              <w:rPr>
                <w:rFonts w:ascii="Calibri" w:hAnsi="Calibri" w:cs="Calibri"/>
                <w:sz w:val="20"/>
                <w:szCs w:val="20"/>
              </w:rPr>
            </w:pPr>
            <w:r>
              <w:rPr>
                <w:rFonts w:ascii="Calibri" w:hAnsi="Calibri" w:cs="Calibri"/>
                <w:sz w:val="20"/>
              </w:rPr>
              <w:t xml:space="preserve">Reshaping the </w:t>
            </w:r>
            <w:r w:rsidRPr="00AE7054">
              <w:rPr>
                <w:rFonts w:ascii="Calibri" w:hAnsi="Calibri" w:cs="Calibri"/>
                <w:sz w:val="20"/>
              </w:rPr>
              <w:t xml:space="preserve">Quality Scheme to </w:t>
            </w:r>
            <w:r>
              <w:rPr>
                <w:rFonts w:ascii="Calibri" w:hAnsi="Calibri" w:cs="Calibri"/>
                <w:sz w:val="20"/>
              </w:rPr>
              <w:t xml:space="preserve">align to the </w:t>
            </w:r>
            <w:r w:rsidRPr="00AE7054">
              <w:rPr>
                <w:rFonts w:ascii="Calibri" w:hAnsi="Calibri" w:cs="Calibri"/>
                <w:sz w:val="20"/>
              </w:rPr>
              <w:t>Risk &amp; Reward that is being finalised as part of the Alliance arrangements</w:t>
            </w:r>
          </w:p>
          <w:p w:rsidR="00AE7054" w:rsidRPr="005B560F" w:rsidRDefault="00AE7054" w:rsidP="00D20856">
            <w:pPr>
              <w:pStyle w:val="Default"/>
              <w:numPr>
                <w:ilvl w:val="0"/>
                <w:numId w:val="17"/>
              </w:numPr>
              <w:jc w:val="both"/>
              <w:rPr>
                <w:rFonts w:ascii="Calibri" w:hAnsi="Calibri" w:cs="Calibri"/>
                <w:sz w:val="20"/>
                <w:szCs w:val="20"/>
              </w:rPr>
            </w:pPr>
            <w:r w:rsidRPr="005B560F">
              <w:rPr>
                <w:rFonts w:ascii="Calibri" w:hAnsi="Calibri" w:cs="Calibri"/>
                <w:sz w:val="20"/>
                <w:szCs w:val="20"/>
              </w:rPr>
              <w:t xml:space="preserve">Alternative funding streams identified for </w:t>
            </w:r>
            <w:r w:rsidR="00733254" w:rsidRPr="005B560F">
              <w:rPr>
                <w:rFonts w:ascii="Calibri" w:hAnsi="Calibri" w:cs="Calibri"/>
                <w:sz w:val="20"/>
                <w:szCs w:val="20"/>
              </w:rPr>
              <w:t>training</w:t>
            </w:r>
            <w:r w:rsidR="006D0322" w:rsidRPr="005B560F">
              <w:rPr>
                <w:rFonts w:ascii="Calibri" w:hAnsi="Calibri" w:cs="Calibri"/>
                <w:sz w:val="20"/>
                <w:szCs w:val="20"/>
              </w:rPr>
              <w:t>.</w:t>
            </w:r>
            <w:r w:rsidR="000033F6" w:rsidRPr="005B560F">
              <w:rPr>
                <w:rFonts w:ascii="Calibri" w:hAnsi="Calibri" w:cs="Calibri"/>
                <w:sz w:val="20"/>
                <w:szCs w:val="20"/>
              </w:rPr>
              <w:t xml:space="preserve"> </w:t>
            </w:r>
          </w:p>
          <w:p w:rsidR="005B560F" w:rsidRPr="005B560F" w:rsidRDefault="00733254" w:rsidP="005B560F">
            <w:pPr>
              <w:pStyle w:val="Default"/>
              <w:numPr>
                <w:ilvl w:val="0"/>
                <w:numId w:val="13"/>
              </w:numPr>
              <w:jc w:val="both"/>
              <w:rPr>
                <w:rFonts w:ascii="Calibri" w:hAnsi="Calibri" w:cs="Calibri"/>
                <w:sz w:val="20"/>
                <w:szCs w:val="20"/>
              </w:rPr>
            </w:pPr>
            <w:r w:rsidRPr="00733254">
              <w:rPr>
                <w:rFonts w:ascii="Calibri" w:hAnsi="Calibri" w:cs="Calibri"/>
                <w:b/>
                <w:sz w:val="20"/>
                <w:szCs w:val="20"/>
              </w:rPr>
              <w:t>Demand Management</w:t>
            </w:r>
            <w:r w:rsidR="005B560F">
              <w:rPr>
                <w:rFonts w:ascii="Calibri" w:hAnsi="Calibri" w:cs="Calibri"/>
                <w:b/>
                <w:sz w:val="20"/>
                <w:szCs w:val="20"/>
              </w:rPr>
              <w:t xml:space="preserve"> (via the Alliance/PCN’s)</w:t>
            </w:r>
            <w:r>
              <w:rPr>
                <w:rFonts w:ascii="Calibri" w:hAnsi="Calibri" w:cs="Calibri"/>
                <w:b/>
                <w:sz w:val="20"/>
                <w:szCs w:val="20"/>
              </w:rPr>
              <w:t xml:space="preserve">: </w:t>
            </w:r>
          </w:p>
          <w:p w:rsidR="005B560F" w:rsidRDefault="00733254" w:rsidP="005B560F">
            <w:pPr>
              <w:pStyle w:val="Default"/>
              <w:numPr>
                <w:ilvl w:val="0"/>
                <w:numId w:val="18"/>
              </w:numPr>
              <w:jc w:val="both"/>
              <w:rPr>
                <w:rFonts w:ascii="Calibri" w:hAnsi="Calibri" w:cs="Calibri"/>
                <w:sz w:val="20"/>
                <w:szCs w:val="20"/>
              </w:rPr>
            </w:pPr>
            <w:r w:rsidRPr="00733254">
              <w:rPr>
                <w:rFonts w:ascii="Calibri" w:hAnsi="Calibri" w:cs="Calibri"/>
                <w:sz w:val="20"/>
                <w:szCs w:val="20"/>
              </w:rPr>
              <w:t xml:space="preserve">Benchmarking information </w:t>
            </w:r>
            <w:r w:rsidR="001B0704">
              <w:rPr>
                <w:rFonts w:ascii="Calibri" w:hAnsi="Calibri" w:cs="Calibri"/>
                <w:sz w:val="20"/>
                <w:szCs w:val="20"/>
              </w:rPr>
              <w:t>by</w:t>
            </w:r>
            <w:r>
              <w:rPr>
                <w:rFonts w:ascii="Calibri" w:hAnsi="Calibri" w:cs="Calibri"/>
                <w:sz w:val="20"/>
                <w:szCs w:val="20"/>
              </w:rPr>
              <w:t xml:space="preserve"> prac</w:t>
            </w:r>
            <w:r w:rsidR="001B0704">
              <w:rPr>
                <w:rFonts w:ascii="Calibri" w:hAnsi="Calibri" w:cs="Calibri"/>
                <w:sz w:val="20"/>
                <w:szCs w:val="20"/>
              </w:rPr>
              <w:t>tice</w:t>
            </w:r>
            <w:r>
              <w:rPr>
                <w:rFonts w:ascii="Calibri" w:hAnsi="Calibri" w:cs="Calibri"/>
                <w:sz w:val="20"/>
                <w:szCs w:val="20"/>
              </w:rPr>
              <w:t xml:space="preserve"> </w:t>
            </w:r>
            <w:r w:rsidRPr="00733254">
              <w:rPr>
                <w:rFonts w:ascii="Calibri" w:hAnsi="Calibri" w:cs="Calibri"/>
                <w:sz w:val="20"/>
                <w:szCs w:val="20"/>
              </w:rPr>
              <w:t>has been col</w:t>
            </w:r>
            <w:r>
              <w:rPr>
                <w:rFonts w:ascii="Calibri" w:hAnsi="Calibri" w:cs="Calibri"/>
                <w:sz w:val="20"/>
                <w:szCs w:val="20"/>
              </w:rPr>
              <w:t>lated and reviewed with opportunitie</w:t>
            </w:r>
            <w:r w:rsidR="005B560F">
              <w:rPr>
                <w:rFonts w:ascii="Calibri" w:hAnsi="Calibri" w:cs="Calibri"/>
                <w:sz w:val="20"/>
                <w:szCs w:val="20"/>
              </w:rPr>
              <w:t>s identified within prescribing</w:t>
            </w:r>
            <w:r>
              <w:rPr>
                <w:rFonts w:ascii="Calibri" w:hAnsi="Calibri" w:cs="Calibri"/>
                <w:sz w:val="20"/>
                <w:szCs w:val="20"/>
              </w:rPr>
              <w:t xml:space="preserve"> and unplanned care. The CCG is going to be providing refresher training to Primary Care Networks so they are all aware of the information that is available to them and how they compare to each other, so ideas and best practice can be shared.</w:t>
            </w:r>
            <w:r w:rsidR="005B560F">
              <w:rPr>
                <w:rFonts w:ascii="Calibri" w:hAnsi="Calibri" w:cs="Calibri"/>
                <w:sz w:val="20"/>
                <w:szCs w:val="20"/>
              </w:rPr>
              <w:t xml:space="preserve"> </w:t>
            </w:r>
          </w:p>
          <w:p w:rsidR="00DE3799" w:rsidRDefault="005B560F" w:rsidP="005B560F">
            <w:pPr>
              <w:pStyle w:val="Default"/>
              <w:numPr>
                <w:ilvl w:val="0"/>
                <w:numId w:val="18"/>
              </w:numPr>
              <w:jc w:val="both"/>
              <w:rPr>
                <w:rFonts w:ascii="Calibri" w:hAnsi="Calibri" w:cs="Calibri"/>
                <w:sz w:val="20"/>
                <w:szCs w:val="20"/>
              </w:rPr>
            </w:pPr>
            <w:r>
              <w:rPr>
                <w:rFonts w:ascii="Calibri" w:hAnsi="Calibri" w:cs="Calibri"/>
                <w:sz w:val="20"/>
                <w:szCs w:val="20"/>
              </w:rPr>
              <w:t>Demand management “outcomes” are being built into the Alliance Risk &amp; Reward.</w:t>
            </w:r>
          </w:p>
          <w:p w:rsidR="00733254" w:rsidRDefault="00733254" w:rsidP="005B560F">
            <w:pPr>
              <w:pStyle w:val="Default"/>
              <w:numPr>
                <w:ilvl w:val="0"/>
                <w:numId w:val="13"/>
              </w:numPr>
              <w:jc w:val="both"/>
              <w:rPr>
                <w:rFonts w:ascii="Calibri" w:hAnsi="Calibri" w:cs="Calibri"/>
                <w:sz w:val="20"/>
                <w:szCs w:val="20"/>
              </w:rPr>
            </w:pPr>
            <w:r w:rsidRPr="00733254">
              <w:rPr>
                <w:rFonts w:ascii="Calibri" w:hAnsi="Calibri" w:cs="Calibri"/>
                <w:b/>
                <w:sz w:val="20"/>
                <w:szCs w:val="20"/>
              </w:rPr>
              <w:t>NLAG schemes</w:t>
            </w:r>
            <w:r>
              <w:rPr>
                <w:rFonts w:ascii="Calibri" w:hAnsi="Calibri" w:cs="Calibri"/>
                <w:b/>
                <w:sz w:val="20"/>
                <w:szCs w:val="20"/>
              </w:rPr>
              <w:t xml:space="preserve">: </w:t>
            </w:r>
            <w:r>
              <w:rPr>
                <w:rFonts w:ascii="Calibri" w:hAnsi="Calibri" w:cs="Calibri"/>
                <w:sz w:val="20"/>
                <w:szCs w:val="20"/>
              </w:rPr>
              <w:t xml:space="preserve">Please refer to the Provider report which covers the NLAG </w:t>
            </w:r>
            <w:r w:rsidR="005B560F">
              <w:rPr>
                <w:rFonts w:ascii="Calibri" w:hAnsi="Calibri" w:cs="Calibri"/>
                <w:sz w:val="20"/>
                <w:szCs w:val="20"/>
              </w:rPr>
              <w:t>Transformation</w:t>
            </w:r>
            <w:r>
              <w:rPr>
                <w:rFonts w:ascii="Calibri" w:hAnsi="Calibri" w:cs="Calibri"/>
                <w:sz w:val="20"/>
                <w:szCs w:val="20"/>
              </w:rPr>
              <w:t xml:space="preserve"> schemes.</w:t>
            </w:r>
          </w:p>
          <w:p w:rsidR="00733254" w:rsidRPr="005B560F" w:rsidRDefault="005B560F" w:rsidP="00DE3799">
            <w:pPr>
              <w:pStyle w:val="Default"/>
              <w:jc w:val="both"/>
              <w:rPr>
                <w:rFonts w:ascii="Calibri" w:hAnsi="Calibri" w:cs="Calibri"/>
                <w:b/>
                <w:sz w:val="20"/>
                <w:szCs w:val="20"/>
              </w:rPr>
            </w:pPr>
            <w:r w:rsidRPr="005B560F">
              <w:rPr>
                <w:rFonts w:ascii="Calibri" w:hAnsi="Calibri" w:cs="Calibri"/>
                <w:b/>
                <w:sz w:val="20"/>
                <w:szCs w:val="20"/>
                <w:u w:val="single"/>
              </w:rPr>
              <w:t>Adult Social Care</w:t>
            </w:r>
            <w:r>
              <w:rPr>
                <w:rFonts w:ascii="Calibri" w:hAnsi="Calibri" w:cs="Calibri"/>
                <w:b/>
                <w:sz w:val="20"/>
                <w:szCs w:val="20"/>
              </w:rPr>
              <w:t>;</w:t>
            </w:r>
          </w:p>
          <w:p w:rsidR="00F94C25" w:rsidRDefault="00F94C25" w:rsidP="005B560F">
            <w:pPr>
              <w:pStyle w:val="Default"/>
              <w:numPr>
                <w:ilvl w:val="0"/>
                <w:numId w:val="13"/>
              </w:numPr>
              <w:jc w:val="both"/>
              <w:rPr>
                <w:rFonts w:ascii="Calibri" w:hAnsi="Calibri" w:cs="Calibri"/>
                <w:b/>
                <w:sz w:val="20"/>
                <w:szCs w:val="20"/>
              </w:rPr>
            </w:pPr>
            <w:r w:rsidRPr="005B560F">
              <w:rPr>
                <w:rFonts w:ascii="Calibri" w:hAnsi="Calibri" w:cs="Calibri"/>
                <w:b/>
                <w:sz w:val="20"/>
                <w:szCs w:val="20"/>
              </w:rPr>
              <w:t>Negotiate via the Union Arrangements the NHS Contribution to Adult Social Care Services:</w:t>
            </w:r>
          </w:p>
          <w:p w:rsidR="00691924" w:rsidRDefault="005B560F" w:rsidP="00691924">
            <w:pPr>
              <w:pStyle w:val="Default"/>
              <w:ind w:left="720"/>
              <w:jc w:val="both"/>
              <w:rPr>
                <w:rFonts w:ascii="Calibri" w:hAnsi="Calibri" w:cs="Calibri"/>
                <w:sz w:val="20"/>
                <w:szCs w:val="20"/>
              </w:rPr>
            </w:pPr>
            <w:r>
              <w:rPr>
                <w:rFonts w:ascii="Calibri" w:hAnsi="Calibri" w:cs="Calibri"/>
                <w:sz w:val="20"/>
                <w:szCs w:val="20"/>
              </w:rPr>
              <w:t xml:space="preserve">Plans are being developed to identify recurrent system cost benefits </w:t>
            </w:r>
            <w:r w:rsidR="00691924">
              <w:rPr>
                <w:rFonts w:ascii="Calibri" w:hAnsi="Calibri" w:cs="Calibri"/>
                <w:sz w:val="20"/>
                <w:szCs w:val="20"/>
              </w:rPr>
              <w:t>of £1m e.g. estate, capital.</w:t>
            </w:r>
            <w:r>
              <w:rPr>
                <w:rFonts w:ascii="Calibri" w:hAnsi="Calibri" w:cs="Calibri"/>
                <w:sz w:val="20"/>
                <w:szCs w:val="20"/>
              </w:rPr>
              <w:t xml:space="preserve"> Recognising that these schemes </w:t>
            </w:r>
            <w:r w:rsidR="00691924">
              <w:rPr>
                <w:rFonts w:ascii="Calibri" w:hAnsi="Calibri" w:cs="Calibri"/>
                <w:sz w:val="20"/>
                <w:szCs w:val="20"/>
              </w:rPr>
              <w:t>will</w:t>
            </w:r>
            <w:r>
              <w:rPr>
                <w:rFonts w:ascii="Calibri" w:hAnsi="Calibri" w:cs="Calibri"/>
                <w:sz w:val="20"/>
                <w:szCs w:val="20"/>
              </w:rPr>
              <w:t xml:space="preserve"> take a number of months to develop and may also require some “pump priming”</w:t>
            </w:r>
            <w:r w:rsidR="00691924">
              <w:rPr>
                <w:rFonts w:ascii="Calibri" w:hAnsi="Calibri" w:cs="Calibri"/>
                <w:sz w:val="20"/>
                <w:szCs w:val="20"/>
              </w:rPr>
              <w:t xml:space="preserve"> funding</w:t>
            </w:r>
            <w:r>
              <w:rPr>
                <w:rFonts w:ascii="Calibri" w:hAnsi="Calibri" w:cs="Calibri"/>
                <w:sz w:val="20"/>
                <w:szCs w:val="20"/>
              </w:rPr>
              <w:t>, reserves</w:t>
            </w:r>
            <w:r w:rsidR="00691924">
              <w:rPr>
                <w:rFonts w:ascii="Calibri" w:hAnsi="Calibri" w:cs="Calibri"/>
                <w:sz w:val="20"/>
                <w:szCs w:val="20"/>
              </w:rPr>
              <w:t xml:space="preserve"> (held within NELC)</w:t>
            </w:r>
            <w:r>
              <w:rPr>
                <w:rFonts w:ascii="Calibri" w:hAnsi="Calibri" w:cs="Calibri"/>
                <w:sz w:val="20"/>
                <w:szCs w:val="20"/>
              </w:rPr>
              <w:t xml:space="preserve"> have been ringfenced </w:t>
            </w:r>
            <w:r w:rsidR="00691924">
              <w:rPr>
                <w:rFonts w:ascii="Calibri" w:hAnsi="Calibri" w:cs="Calibri"/>
                <w:sz w:val="20"/>
                <w:szCs w:val="20"/>
              </w:rPr>
              <w:t xml:space="preserve">to support this. </w:t>
            </w:r>
          </w:p>
          <w:p w:rsidR="00F94C25" w:rsidRPr="001349ED" w:rsidRDefault="00F94C25" w:rsidP="005C26C6">
            <w:pPr>
              <w:pStyle w:val="Default"/>
              <w:numPr>
                <w:ilvl w:val="0"/>
                <w:numId w:val="13"/>
              </w:numPr>
              <w:jc w:val="both"/>
              <w:rPr>
                <w:rFonts w:ascii="Calibri" w:hAnsi="Calibri" w:cs="Calibri"/>
                <w:b/>
                <w:sz w:val="20"/>
                <w:szCs w:val="20"/>
              </w:rPr>
            </w:pPr>
            <w:r w:rsidRPr="001349ED">
              <w:rPr>
                <w:rFonts w:ascii="Calibri" w:hAnsi="Calibri" w:cs="Calibri"/>
                <w:b/>
                <w:sz w:val="20"/>
                <w:szCs w:val="20"/>
              </w:rPr>
              <w:t>Use of earmarked reserves:</w:t>
            </w:r>
            <w:r w:rsidR="001349ED" w:rsidRPr="001349ED">
              <w:rPr>
                <w:rFonts w:ascii="Calibri" w:hAnsi="Calibri" w:cs="Calibri"/>
                <w:b/>
                <w:sz w:val="20"/>
                <w:szCs w:val="20"/>
              </w:rPr>
              <w:t xml:space="preserve"> </w:t>
            </w:r>
            <w:r w:rsidR="001349ED" w:rsidRPr="001349ED">
              <w:rPr>
                <w:rFonts w:ascii="Calibri" w:hAnsi="Calibri" w:cs="Calibri"/>
                <w:sz w:val="20"/>
                <w:szCs w:val="20"/>
              </w:rPr>
              <w:t xml:space="preserve">It has been agreed that this funding will be drawn down from earmarked reserves (held within NELC) </w:t>
            </w:r>
          </w:p>
          <w:p w:rsidR="00F94C25" w:rsidRDefault="00F94C25" w:rsidP="001349ED">
            <w:pPr>
              <w:pStyle w:val="Default"/>
              <w:numPr>
                <w:ilvl w:val="0"/>
                <w:numId w:val="13"/>
              </w:numPr>
              <w:jc w:val="both"/>
              <w:rPr>
                <w:rFonts w:ascii="Calibri" w:hAnsi="Calibri" w:cs="Calibri"/>
                <w:sz w:val="20"/>
                <w:szCs w:val="20"/>
              </w:rPr>
            </w:pPr>
            <w:r w:rsidRPr="00F94C25">
              <w:rPr>
                <w:rFonts w:ascii="Calibri" w:hAnsi="Calibri" w:cs="Calibri"/>
                <w:b/>
                <w:sz w:val="20"/>
                <w:szCs w:val="20"/>
              </w:rPr>
              <w:t>Collaborative working within the ICP</w:t>
            </w:r>
            <w:r>
              <w:rPr>
                <w:rFonts w:ascii="Calibri" w:hAnsi="Calibri" w:cs="Calibri"/>
                <w:b/>
                <w:sz w:val="20"/>
                <w:szCs w:val="20"/>
              </w:rPr>
              <w:t xml:space="preserve">: </w:t>
            </w:r>
            <w:r w:rsidRPr="00F94C25">
              <w:rPr>
                <w:rFonts w:ascii="Calibri" w:hAnsi="Calibri" w:cs="Calibri"/>
                <w:sz w:val="20"/>
                <w:szCs w:val="20"/>
              </w:rPr>
              <w:t xml:space="preserve">Savings proposed via contract arrangement with </w:t>
            </w:r>
            <w:r>
              <w:rPr>
                <w:rFonts w:ascii="Calibri" w:hAnsi="Calibri" w:cs="Calibri"/>
                <w:sz w:val="20"/>
                <w:szCs w:val="20"/>
              </w:rPr>
              <w:t>social</w:t>
            </w:r>
            <w:r w:rsidRPr="00F94C25">
              <w:rPr>
                <w:rFonts w:ascii="Calibri" w:hAnsi="Calibri" w:cs="Calibri"/>
                <w:sz w:val="20"/>
                <w:szCs w:val="20"/>
              </w:rPr>
              <w:t xml:space="preserve"> enterprises</w:t>
            </w:r>
            <w:r>
              <w:rPr>
                <w:rFonts w:ascii="Calibri" w:hAnsi="Calibri" w:cs="Calibri"/>
                <w:sz w:val="20"/>
                <w:szCs w:val="20"/>
              </w:rPr>
              <w:t>.</w:t>
            </w:r>
          </w:p>
          <w:p w:rsidR="00F94C25" w:rsidRDefault="00F94C25" w:rsidP="001349ED">
            <w:pPr>
              <w:pStyle w:val="Default"/>
              <w:numPr>
                <w:ilvl w:val="0"/>
                <w:numId w:val="13"/>
              </w:numPr>
              <w:jc w:val="both"/>
              <w:rPr>
                <w:rFonts w:ascii="Calibri" w:hAnsi="Calibri" w:cs="Calibri"/>
                <w:sz w:val="20"/>
                <w:szCs w:val="20"/>
              </w:rPr>
            </w:pPr>
            <w:r w:rsidRPr="00F94C25">
              <w:rPr>
                <w:rFonts w:ascii="Calibri" w:hAnsi="Calibri" w:cs="Calibri"/>
                <w:b/>
                <w:sz w:val="20"/>
                <w:szCs w:val="20"/>
              </w:rPr>
              <w:t>Reduction of high cost residential care placements</w:t>
            </w:r>
            <w:r>
              <w:rPr>
                <w:rFonts w:ascii="Calibri" w:hAnsi="Calibri" w:cs="Calibri"/>
                <w:b/>
                <w:sz w:val="20"/>
                <w:szCs w:val="20"/>
              </w:rPr>
              <w:t xml:space="preserve">: </w:t>
            </w:r>
            <w:r>
              <w:rPr>
                <w:rFonts w:ascii="Calibri" w:hAnsi="Calibri" w:cs="Calibri"/>
                <w:sz w:val="20"/>
                <w:szCs w:val="20"/>
              </w:rPr>
              <w:t>Wo</w:t>
            </w:r>
            <w:r w:rsidRPr="00F94C25">
              <w:rPr>
                <w:rFonts w:ascii="Calibri" w:hAnsi="Calibri" w:cs="Calibri"/>
                <w:sz w:val="20"/>
                <w:szCs w:val="20"/>
              </w:rPr>
              <w:t>rking group already establishe</w:t>
            </w:r>
            <w:r>
              <w:rPr>
                <w:rFonts w:ascii="Calibri" w:hAnsi="Calibri" w:cs="Calibri"/>
                <w:sz w:val="20"/>
                <w:szCs w:val="20"/>
              </w:rPr>
              <w:t>d</w:t>
            </w:r>
            <w:r w:rsidRPr="00F94C25">
              <w:rPr>
                <w:rFonts w:ascii="Calibri" w:hAnsi="Calibri" w:cs="Calibri"/>
                <w:sz w:val="20"/>
                <w:szCs w:val="20"/>
              </w:rPr>
              <w:t xml:space="preserve"> and dataset</w:t>
            </w:r>
            <w:r>
              <w:rPr>
                <w:rFonts w:ascii="Calibri" w:hAnsi="Calibri" w:cs="Calibri"/>
                <w:sz w:val="20"/>
                <w:szCs w:val="20"/>
              </w:rPr>
              <w:t xml:space="preserve"> of high cost patients </w:t>
            </w:r>
            <w:r w:rsidRPr="00F94C25">
              <w:rPr>
                <w:rFonts w:ascii="Calibri" w:hAnsi="Calibri" w:cs="Calibri"/>
                <w:sz w:val="20"/>
                <w:szCs w:val="20"/>
              </w:rPr>
              <w:t>being reviewed.</w:t>
            </w:r>
            <w:r w:rsidR="001349ED">
              <w:rPr>
                <w:rFonts w:ascii="Calibri" w:hAnsi="Calibri" w:cs="Calibri"/>
                <w:sz w:val="20"/>
                <w:szCs w:val="20"/>
              </w:rPr>
              <w:t xml:space="preserve"> </w:t>
            </w:r>
            <w:r w:rsidR="001B0704">
              <w:rPr>
                <w:rFonts w:ascii="Calibri" w:hAnsi="Calibri" w:cs="Calibri"/>
                <w:sz w:val="20"/>
                <w:szCs w:val="20"/>
              </w:rPr>
              <w:t xml:space="preserve"> </w:t>
            </w:r>
          </w:p>
          <w:p w:rsidR="001B0704" w:rsidRPr="00F94C25" w:rsidRDefault="001B0704" w:rsidP="001B0704">
            <w:pPr>
              <w:pStyle w:val="Default"/>
              <w:ind w:left="720"/>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246EFA" w:rsidRPr="000D1B0D" w:rsidRDefault="00246EFA" w:rsidP="00D42959">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BD3456"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rsidTr="00144ED4">
        <w:tc>
          <w:tcPr>
            <w:tcW w:w="1183" w:type="pct"/>
            <w:shd w:val="clear" w:color="auto" w:fill="auto"/>
          </w:tcPr>
          <w:p w:rsidR="00473CC5" w:rsidRPr="00F300A1" w:rsidRDefault="00473CC5" w:rsidP="00BD3456">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BD3456" w:rsidP="000D1B0D">
            <w:pPr>
              <w:pStyle w:val="Default"/>
              <w:jc w:val="both"/>
              <w:rPr>
                <w:rFonts w:ascii="Calibri" w:hAnsi="Calibri" w:cs="Calibri"/>
                <w:sz w:val="20"/>
                <w:szCs w:val="20"/>
              </w:rPr>
            </w:pPr>
            <w:r>
              <w:rPr>
                <w:rFonts w:ascii="Calibri" w:hAnsi="Calibri" w:cs="Calibri"/>
                <w:sz w:val="20"/>
                <w:szCs w:val="20"/>
              </w:rPr>
              <w:t>None</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1C5764"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1C5764"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1C5764"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BD3456">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1C5764"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BD3456" w:rsidP="0009052F">
            <w:pPr>
              <w:pStyle w:val="Default"/>
              <w:jc w:val="both"/>
              <w:rPr>
                <w:rFonts w:ascii="Calibri" w:hAnsi="Calibri" w:cs="Calibri"/>
                <w:sz w:val="20"/>
                <w:szCs w:val="20"/>
              </w:rPr>
            </w:pPr>
            <w:r>
              <w:rPr>
                <w:rFonts w:ascii="Calibri" w:hAnsi="Calibri" w:cs="Calibri"/>
                <w:sz w:val="20"/>
                <w:szCs w:val="20"/>
              </w:rPr>
              <w:t>T</w:t>
            </w:r>
            <w:r w:rsidRPr="00143128">
              <w:rPr>
                <w:rFonts w:ascii="Calibri" w:hAnsi="Calibri" w:cs="Calibri"/>
                <w:sz w:val="20"/>
                <w:szCs w:val="20"/>
              </w:rPr>
              <w:t xml:space="preserve">he </w:t>
            </w:r>
            <w:r>
              <w:rPr>
                <w:rFonts w:ascii="Calibri" w:hAnsi="Calibri" w:cs="Calibri"/>
                <w:sz w:val="20"/>
                <w:szCs w:val="20"/>
              </w:rPr>
              <w:t xml:space="preserve">CCG </w:t>
            </w:r>
            <w:r w:rsidRPr="00143128">
              <w:rPr>
                <w:rFonts w:ascii="Calibri" w:hAnsi="Calibri" w:cs="Calibri"/>
                <w:sz w:val="20"/>
                <w:szCs w:val="20"/>
              </w:rPr>
              <w:t>will promote good governance and proper stewardship of public resources in pursuance of its goals and in meeting its statutory duties.</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1C5764"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Excel.Sheet.12" ShapeID="_x0000_i1025" DrawAspect="Icon" ObjectID="_1620838952" r:id="rId11"/>
              </w:object>
            </w:r>
            <w:bookmarkStart w:id="0" w:name="_GoBack"/>
            <w:bookmarkEnd w:id="0"/>
          </w:p>
        </w:tc>
      </w:tr>
    </w:tbl>
    <w:p w:rsidR="009D4EDC" w:rsidRDefault="009D4EDC" w:rsidP="00D3211A">
      <w:pPr>
        <w:pStyle w:val="Default"/>
        <w:jc w:val="both"/>
        <w:rPr>
          <w:rFonts w:ascii="Calibri" w:hAnsi="Calibri" w:cs="Calibri"/>
          <w:sz w:val="20"/>
          <w:szCs w:val="20"/>
        </w:rPr>
      </w:pPr>
    </w:p>
    <w:p w:rsidR="001E391A" w:rsidRDefault="001E391A">
      <w:pPr>
        <w:rPr>
          <w:rFonts w:ascii="Calibri" w:eastAsia="MS Mincho" w:hAnsi="Calibri" w:cs="Calibri"/>
          <w:color w:val="000000"/>
          <w:sz w:val="20"/>
          <w:lang w:eastAsia="en-GB"/>
        </w:rPr>
      </w:pPr>
      <w:r>
        <w:rPr>
          <w:rFonts w:ascii="Calibri" w:hAnsi="Calibri" w:cs="Calibri"/>
          <w:sz w:val="20"/>
        </w:rPr>
        <w:br w:type="page"/>
      </w:r>
    </w:p>
    <w:p w:rsidR="00893409" w:rsidRPr="006C466D" w:rsidRDefault="006C466D" w:rsidP="006C466D">
      <w:pPr>
        <w:pStyle w:val="Default"/>
        <w:jc w:val="right"/>
        <w:rPr>
          <w:rFonts w:ascii="Calibri" w:hAnsi="Calibri" w:cs="Calibri"/>
          <w:b/>
          <w:sz w:val="22"/>
          <w:szCs w:val="22"/>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C466D">
        <w:rPr>
          <w:rFonts w:ascii="Calibri" w:hAnsi="Calibri" w:cs="Calibri"/>
          <w:b/>
          <w:sz w:val="22"/>
          <w:szCs w:val="22"/>
        </w:rPr>
        <w:t>Appendix i</w:t>
      </w:r>
    </w:p>
    <w:p w:rsidR="006C466D" w:rsidRDefault="006C466D" w:rsidP="006C466D">
      <w:pPr>
        <w:pStyle w:val="Default"/>
        <w:jc w:val="center"/>
        <w:rPr>
          <w:rFonts w:ascii="Calibri" w:hAnsi="Calibri" w:cs="Calibri"/>
          <w:b/>
          <w:sz w:val="20"/>
          <w:szCs w:val="20"/>
        </w:rPr>
      </w:pPr>
    </w:p>
    <w:p w:rsidR="006C466D" w:rsidRPr="006C466D" w:rsidRDefault="006C466D" w:rsidP="006C466D">
      <w:pPr>
        <w:pStyle w:val="Default"/>
        <w:jc w:val="center"/>
        <w:rPr>
          <w:rFonts w:ascii="Calibri" w:hAnsi="Calibri" w:cs="Calibri"/>
          <w:b/>
          <w:sz w:val="20"/>
          <w:szCs w:val="20"/>
        </w:rPr>
      </w:pPr>
      <w:r w:rsidRPr="006C466D">
        <w:rPr>
          <w:noProof/>
        </w:rPr>
        <w:drawing>
          <wp:inline distT="0" distB="0" distL="0" distR="0">
            <wp:extent cx="6438900" cy="855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8553450"/>
                    </a:xfrm>
                    <a:prstGeom prst="rect">
                      <a:avLst/>
                    </a:prstGeom>
                    <a:noFill/>
                    <a:ln>
                      <a:noFill/>
                    </a:ln>
                  </pic:spPr>
                </pic:pic>
              </a:graphicData>
            </a:graphic>
          </wp:inline>
        </w:drawing>
      </w:r>
    </w:p>
    <w:sectPr w:rsidR="006C466D" w:rsidRPr="006C466D" w:rsidSect="00144ED4">
      <w:headerReference w:type="default" r:id="rId13"/>
      <w:footerReference w:type="default" r:id="rId14"/>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C33" w:rsidRDefault="00641C33" w:rsidP="00E1284E">
      <w:r>
        <w:separator/>
      </w:r>
    </w:p>
  </w:endnote>
  <w:endnote w:type="continuationSeparator" w:id="0">
    <w:p w:rsidR="00641C33" w:rsidRDefault="00641C33"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1C5764">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C33" w:rsidRDefault="00641C33" w:rsidP="00E1284E">
      <w:r>
        <w:separator/>
      </w:r>
    </w:p>
  </w:footnote>
  <w:footnote w:type="continuationSeparator" w:id="0">
    <w:p w:rsidR="00641C33" w:rsidRDefault="00641C33"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2B"/>
    <w:multiLevelType w:val="hybridMultilevel"/>
    <w:tmpl w:val="6B96E6C4"/>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509"/>
    <w:multiLevelType w:val="hybridMultilevel"/>
    <w:tmpl w:val="460EDA42"/>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AE4FEC"/>
    <w:multiLevelType w:val="hybridMultilevel"/>
    <w:tmpl w:val="2AA4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1247E"/>
    <w:multiLevelType w:val="hybridMultilevel"/>
    <w:tmpl w:val="3E468B6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581ECA"/>
    <w:multiLevelType w:val="hybridMultilevel"/>
    <w:tmpl w:val="C7DCDFA6"/>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5301"/>
    <w:multiLevelType w:val="hybridMultilevel"/>
    <w:tmpl w:val="0878629C"/>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402F2"/>
    <w:multiLevelType w:val="hybridMultilevel"/>
    <w:tmpl w:val="54E67DC4"/>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672AF"/>
    <w:multiLevelType w:val="hybridMultilevel"/>
    <w:tmpl w:val="FF74A9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956A54"/>
    <w:multiLevelType w:val="hybridMultilevel"/>
    <w:tmpl w:val="B8ECBD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C75CD"/>
    <w:multiLevelType w:val="hybridMultilevel"/>
    <w:tmpl w:val="2EC6E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47569E"/>
    <w:multiLevelType w:val="hybridMultilevel"/>
    <w:tmpl w:val="8948346E"/>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B4461"/>
    <w:multiLevelType w:val="hybridMultilevel"/>
    <w:tmpl w:val="D228E95A"/>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8"/>
  </w:num>
  <w:num w:numId="5">
    <w:abstractNumId w:val="2"/>
  </w:num>
  <w:num w:numId="6">
    <w:abstractNumId w:val="11"/>
  </w:num>
  <w:num w:numId="7">
    <w:abstractNumId w:val="16"/>
  </w:num>
  <w:num w:numId="8">
    <w:abstractNumId w:val="7"/>
  </w:num>
  <w:num w:numId="9">
    <w:abstractNumId w:val="6"/>
  </w:num>
  <w:num w:numId="10">
    <w:abstractNumId w:val="13"/>
  </w:num>
  <w:num w:numId="11">
    <w:abstractNumId w:val="4"/>
  </w:num>
  <w:num w:numId="12">
    <w:abstractNumId w:val="10"/>
  </w:num>
  <w:num w:numId="13">
    <w:abstractNumId w:val="0"/>
  </w:num>
  <w:num w:numId="14">
    <w:abstractNumId w:val="5"/>
  </w:num>
  <w:num w:numId="15">
    <w:abstractNumId w:val="1"/>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33F6"/>
    <w:rsid w:val="00005BBC"/>
    <w:rsid w:val="00006E07"/>
    <w:rsid w:val="0001061C"/>
    <w:rsid w:val="00034CF6"/>
    <w:rsid w:val="000350E4"/>
    <w:rsid w:val="00035AD7"/>
    <w:rsid w:val="00042DDB"/>
    <w:rsid w:val="00043C7A"/>
    <w:rsid w:val="00046B77"/>
    <w:rsid w:val="0009052F"/>
    <w:rsid w:val="00096E41"/>
    <w:rsid w:val="000A554D"/>
    <w:rsid w:val="000A7EB7"/>
    <w:rsid w:val="000C4D3C"/>
    <w:rsid w:val="000C70E4"/>
    <w:rsid w:val="000D1426"/>
    <w:rsid w:val="000D1B0D"/>
    <w:rsid w:val="00107535"/>
    <w:rsid w:val="001139C9"/>
    <w:rsid w:val="0013341F"/>
    <w:rsid w:val="001349ED"/>
    <w:rsid w:val="00136B75"/>
    <w:rsid w:val="00144ED4"/>
    <w:rsid w:val="001521B4"/>
    <w:rsid w:val="001556E0"/>
    <w:rsid w:val="00160986"/>
    <w:rsid w:val="0016479A"/>
    <w:rsid w:val="00172A75"/>
    <w:rsid w:val="001851BD"/>
    <w:rsid w:val="001B0704"/>
    <w:rsid w:val="001C5764"/>
    <w:rsid w:val="001D2409"/>
    <w:rsid w:val="001E391A"/>
    <w:rsid w:val="002044CF"/>
    <w:rsid w:val="002054A0"/>
    <w:rsid w:val="0022046E"/>
    <w:rsid w:val="00220DF9"/>
    <w:rsid w:val="00246A4E"/>
    <w:rsid w:val="00246EFA"/>
    <w:rsid w:val="00267CA4"/>
    <w:rsid w:val="0028419C"/>
    <w:rsid w:val="002C32CC"/>
    <w:rsid w:val="002F38A7"/>
    <w:rsid w:val="00306A1B"/>
    <w:rsid w:val="0036733E"/>
    <w:rsid w:val="00390412"/>
    <w:rsid w:val="003B7B5D"/>
    <w:rsid w:val="003D7845"/>
    <w:rsid w:val="003E2DF5"/>
    <w:rsid w:val="004126BC"/>
    <w:rsid w:val="004458C3"/>
    <w:rsid w:val="00453E4B"/>
    <w:rsid w:val="00461F5E"/>
    <w:rsid w:val="00462732"/>
    <w:rsid w:val="00471BB9"/>
    <w:rsid w:val="00473CC5"/>
    <w:rsid w:val="004767D8"/>
    <w:rsid w:val="00491316"/>
    <w:rsid w:val="004B444D"/>
    <w:rsid w:val="004E32B5"/>
    <w:rsid w:val="004F5317"/>
    <w:rsid w:val="004F6116"/>
    <w:rsid w:val="004F635B"/>
    <w:rsid w:val="00504F2E"/>
    <w:rsid w:val="005310F1"/>
    <w:rsid w:val="005318DA"/>
    <w:rsid w:val="005341D0"/>
    <w:rsid w:val="0054308A"/>
    <w:rsid w:val="005A0D0A"/>
    <w:rsid w:val="005A4EC5"/>
    <w:rsid w:val="005A53D1"/>
    <w:rsid w:val="005B0C13"/>
    <w:rsid w:val="005B560F"/>
    <w:rsid w:val="006006E6"/>
    <w:rsid w:val="006330C7"/>
    <w:rsid w:val="0063469B"/>
    <w:rsid w:val="00641C33"/>
    <w:rsid w:val="00644ECC"/>
    <w:rsid w:val="0065247D"/>
    <w:rsid w:val="00663808"/>
    <w:rsid w:val="006916D3"/>
    <w:rsid w:val="00691924"/>
    <w:rsid w:val="00697B0F"/>
    <w:rsid w:val="006A23CE"/>
    <w:rsid w:val="006C1307"/>
    <w:rsid w:val="006C466D"/>
    <w:rsid w:val="006D0322"/>
    <w:rsid w:val="006E05F2"/>
    <w:rsid w:val="006F3A4E"/>
    <w:rsid w:val="00703268"/>
    <w:rsid w:val="0071072D"/>
    <w:rsid w:val="00711DA9"/>
    <w:rsid w:val="00713215"/>
    <w:rsid w:val="00720BF3"/>
    <w:rsid w:val="00733254"/>
    <w:rsid w:val="00734128"/>
    <w:rsid w:val="007405E7"/>
    <w:rsid w:val="00755446"/>
    <w:rsid w:val="00763B57"/>
    <w:rsid w:val="007663C8"/>
    <w:rsid w:val="00793F90"/>
    <w:rsid w:val="007C526F"/>
    <w:rsid w:val="007D1C13"/>
    <w:rsid w:val="007E1C2F"/>
    <w:rsid w:val="007E2A23"/>
    <w:rsid w:val="008044FD"/>
    <w:rsid w:val="0081494F"/>
    <w:rsid w:val="008336DE"/>
    <w:rsid w:val="00842CBF"/>
    <w:rsid w:val="00846301"/>
    <w:rsid w:val="00876931"/>
    <w:rsid w:val="00893409"/>
    <w:rsid w:val="008A1D10"/>
    <w:rsid w:val="008C5A15"/>
    <w:rsid w:val="008D2FFA"/>
    <w:rsid w:val="008F7075"/>
    <w:rsid w:val="00901CC0"/>
    <w:rsid w:val="00911F40"/>
    <w:rsid w:val="009169E9"/>
    <w:rsid w:val="009232A3"/>
    <w:rsid w:val="009245B1"/>
    <w:rsid w:val="0092546C"/>
    <w:rsid w:val="009707A9"/>
    <w:rsid w:val="0098436E"/>
    <w:rsid w:val="00991A1C"/>
    <w:rsid w:val="00995A9E"/>
    <w:rsid w:val="009B2D9C"/>
    <w:rsid w:val="009B4B1E"/>
    <w:rsid w:val="009D39DE"/>
    <w:rsid w:val="009D4EDC"/>
    <w:rsid w:val="009E45D2"/>
    <w:rsid w:val="00A0148B"/>
    <w:rsid w:val="00A218A3"/>
    <w:rsid w:val="00A34173"/>
    <w:rsid w:val="00A41667"/>
    <w:rsid w:val="00A66D55"/>
    <w:rsid w:val="00A67A77"/>
    <w:rsid w:val="00A9358C"/>
    <w:rsid w:val="00A977E0"/>
    <w:rsid w:val="00AB1B69"/>
    <w:rsid w:val="00AB4FF6"/>
    <w:rsid w:val="00AB645B"/>
    <w:rsid w:val="00AE7054"/>
    <w:rsid w:val="00AF4A4F"/>
    <w:rsid w:val="00B10221"/>
    <w:rsid w:val="00B17042"/>
    <w:rsid w:val="00B24425"/>
    <w:rsid w:val="00B62F45"/>
    <w:rsid w:val="00B658DC"/>
    <w:rsid w:val="00B76E57"/>
    <w:rsid w:val="00B904DF"/>
    <w:rsid w:val="00B96B78"/>
    <w:rsid w:val="00B971B9"/>
    <w:rsid w:val="00BB0439"/>
    <w:rsid w:val="00BB2F43"/>
    <w:rsid w:val="00BB4006"/>
    <w:rsid w:val="00BB40A8"/>
    <w:rsid w:val="00BD3456"/>
    <w:rsid w:val="00BE2870"/>
    <w:rsid w:val="00BE53CE"/>
    <w:rsid w:val="00BE727A"/>
    <w:rsid w:val="00BE7CCE"/>
    <w:rsid w:val="00C11E96"/>
    <w:rsid w:val="00C22A1B"/>
    <w:rsid w:val="00C24F69"/>
    <w:rsid w:val="00C3728B"/>
    <w:rsid w:val="00C41576"/>
    <w:rsid w:val="00C450D4"/>
    <w:rsid w:val="00C52984"/>
    <w:rsid w:val="00C64AF0"/>
    <w:rsid w:val="00C81EF3"/>
    <w:rsid w:val="00CA348E"/>
    <w:rsid w:val="00CA4E8E"/>
    <w:rsid w:val="00CB1860"/>
    <w:rsid w:val="00CC2C55"/>
    <w:rsid w:val="00CF20A6"/>
    <w:rsid w:val="00CF347F"/>
    <w:rsid w:val="00CF395E"/>
    <w:rsid w:val="00CF7E0D"/>
    <w:rsid w:val="00D00012"/>
    <w:rsid w:val="00D035B0"/>
    <w:rsid w:val="00D3211A"/>
    <w:rsid w:val="00D37168"/>
    <w:rsid w:val="00D42959"/>
    <w:rsid w:val="00D562BE"/>
    <w:rsid w:val="00D608FD"/>
    <w:rsid w:val="00D7667F"/>
    <w:rsid w:val="00DA7A50"/>
    <w:rsid w:val="00DB2A0C"/>
    <w:rsid w:val="00DB37E5"/>
    <w:rsid w:val="00DB554E"/>
    <w:rsid w:val="00DC041C"/>
    <w:rsid w:val="00DC591C"/>
    <w:rsid w:val="00DE0BED"/>
    <w:rsid w:val="00DE185E"/>
    <w:rsid w:val="00DE3799"/>
    <w:rsid w:val="00DF7670"/>
    <w:rsid w:val="00E04F05"/>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EC7E7C"/>
    <w:rsid w:val="00ED276A"/>
    <w:rsid w:val="00EF44B1"/>
    <w:rsid w:val="00F300A1"/>
    <w:rsid w:val="00F4010D"/>
    <w:rsid w:val="00F54DEB"/>
    <w:rsid w:val="00F94C25"/>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093762"/>
  <w15:docId w15:val="{5B0ECE51-31BF-4A37-8BB8-58EBB22F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6195">
      <w:bodyDiv w:val="1"/>
      <w:marLeft w:val="0"/>
      <w:marRight w:val="0"/>
      <w:marTop w:val="0"/>
      <w:marBottom w:val="0"/>
      <w:divBdr>
        <w:top w:val="none" w:sz="0" w:space="0" w:color="auto"/>
        <w:left w:val="none" w:sz="0" w:space="0" w:color="auto"/>
        <w:bottom w:val="none" w:sz="0" w:space="0" w:color="auto"/>
        <w:right w:val="none" w:sz="0" w:space="0" w:color="auto"/>
      </w:divBdr>
    </w:div>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69106507">
      <w:bodyDiv w:val="1"/>
      <w:marLeft w:val="0"/>
      <w:marRight w:val="0"/>
      <w:marTop w:val="0"/>
      <w:marBottom w:val="0"/>
      <w:divBdr>
        <w:top w:val="none" w:sz="0" w:space="0" w:color="auto"/>
        <w:left w:val="none" w:sz="0" w:space="0" w:color="auto"/>
        <w:bottom w:val="none" w:sz="0" w:space="0" w:color="auto"/>
        <w:right w:val="none" w:sz="0" w:space="0" w:color="auto"/>
      </w:divBdr>
    </w:div>
    <w:div w:id="348484309">
      <w:bodyDiv w:val="1"/>
      <w:marLeft w:val="0"/>
      <w:marRight w:val="0"/>
      <w:marTop w:val="0"/>
      <w:marBottom w:val="0"/>
      <w:divBdr>
        <w:top w:val="none" w:sz="0" w:space="0" w:color="auto"/>
        <w:left w:val="none" w:sz="0" w:space="0" w:color="auto"/>
        <w:bottom w:val="none" w:sz="0" w:space="0" w:color="auto"/>
        <w:right w:val="none" w:sz="0" w:space="0" w:color="auto"/>
      </w:divBdr>
    </w:div>
    <w:div w:id="447087046">
      <w:bodyDiv w:val="1"/>
      <w:marLeft w:val="0"/>
      <w:marRight w:val="0"/>
      <w:marTop w:val="0"/>
      <w:marBottom w:val="0"/>
      <w:divBdr>
        <w:top w:val="none" w:sz="0" w:space="0" w:color="auto"/>
        <w:left w:val="none" w:sz="0" w:space="0" w:color="auto"/>
        <w:bottom w:val="none" w:sz="0" w:space="0" w:color="auto"/>
        <w:right w:val="none" w:sz="0" w:space="0" w:color="auto"/>
      </w:divBdr>
    </w:div>
    <w:div w:id="563570978">
      <w:bodyDiv w:val="1"/>
      <w:marLeft w:val="0"/>
      <w:marRight w:val="0"/>
      <w:marTop w:val="0"/>
      <w:marBottom w:val="0"/>
      <w:divBdr>
        <w:top w:val="none" w:sz="0" w:space="0" w:color="auto"/>
        <w:left w:val="none" w:sz="0" w:space="0" w:color="auto"/>
        <w:bottom w:val="none" w:sz="0" w:space="0" w:color="auto"/>
        <w:right w:val="none" w:sz="0" w:space="0" w:color="auto"/>
      </w:divBdr>
    </w:div>
    <w:div w:id="728650986">
      <w:bodyDiv w:val="1"/>
      <w:marLeft w:val="0"/>
      <w:marRight w:val="0"/>
      <w:marTop w:val="0"/>
      <w:marBottom w:val="0"/>
      <w:divBdr>
        <w:top w:val="none" w:sz="0" w:space="0" w:color="auto"/>
        <w:left w:val="none" w:sz="0" w:space="0" w:color="auto"/>
        <w:bottom w:val="none" w:sz="0" w:space="0" w:color="auto"/>
        <w:right w:val="none" w:sz="0" w:space="0" w:color="auto"/>
      </w:divBdr>
    </w:div>
    <w:div w:id="1051149287">
      <w:bodyDiv w:val="1"/>
      <w:marLeft w:val="0"/>
      <w:marRight w:val="0"/>
      <w:marTop w:val="0"/>
      <w:marBottom w:val="0"/>
      <w:divBdr>
        <w:top w:val="none" w:sz="0" w:space="0" w:color="auto"/>
        <w:left w:val="none" w:sz="0" w:space="0" w:color="auto"/>
        <w:bottom w:val="none" w:sz="0" w:space="0" w:color="auto"/>
        <w:right w:val="none" w:sz="0" w:space="0" w:color="auto"/>
      </w:divBdr>
    </w:div>
    <w:div w:id="1567884022">
      <w:bodyDiv w:val="1"/>
      <w:marLeft w:val="0"/>
      <w:marRight w:val="0"/>
      <w:marTop w:val="0"/>
      <w:marBottom w:val="0"/>
      <w:divBdr>
        <w:top w:val="none" w:sz="0" w:space="0" w:color="auto"/>
        <w:left w:val="none" w:sz="0" w:space="0" w:color="auto"/>
        <w:bottom w:val="none" w:sz="0" w:space="0" w:color="auto"/>
        <w:right w:val="none" w:sz="0" w:space="0" w:color="auto"/>
      </w:divBdr>
    </w:div>
    <w:div w:id="1808235619">
      <w:bodyDiv w:val="1"/>
      <w:marLeft w:val="0"/>
      <w:marRight w:val="0"/>
      <w:marTop w:val="0"/>
      <w:marBottom w:val="0"/>
      <w:divBdr>
        <w:top w:val="none" w:sz="0" w:space="0" w:color="auto"/>
        <w:left w:val="none" w:sz="0" w:space="0" w:color="auto"/>
        <w:bottom w:val="none" w:sz="0" w:space="0" w:color="auto"/>
        <w:right w:val="none" w:sz="0" w:space="0" w:color="auto"/>
      </w:divBdr>
    </w:div>
    <w:div w:id="1895461224">
      <w:bodyDiv w:val="1"/>
      <w:marLeft w:val="0"/>
      <w:marRight w:val="0"/>
      <w:marTop w:val="0"/>
      <w:marBottom w:val="0"/>
      <w:divBdr>
        <w:top w:val="none" w:sz="0" w:space="0" w:color="auto"/>
        <w:left w:val="none" w:sz="0" w:space="0" w:color="auto"/>
        <w:bottom w:val="none" w:sz="0" w:space="0" w:color="auto"/>
        <w:right w:val="none" w:sz="0" w:space="0" w:color="auto"/>
      </w:divBdr>
    </w:div>
    <w:div w:id="2028865114">
      <w:bodyDiv w:val="1"/>
      <w:marLeft w:val="0"/>
      <w:marRight w:val="0"/>
      <w:marTop w:val="0"/>
      <w:marBottom w:val="0"/>
      <w:divBdr>
        <w:top w:val="none" w:sz="0" w:space="0" w:color="auto"/>
        <w:left w:val="none" w:sz="0" w:space="0" w:color="auto"/>
        <w:bottom w:val="none" w:sz="0" w:space="0" w:color="auto"/>
        <w:right w:val="none" w:sz="0" w:space="0" w:color="auto"/>
      </w:divBdr>
    </w:div>
    <w:div w:id="2039885703">
      <w:bodyDiv w:val="1"/>
      <w:marLeft w:val="0"/>
      <w:marRight w:val="0"/>
      <w:marTop w:val="0"/>
      <w:marBottom w:val="0"/>
      <w:divBdr>
        <w:top w:val="none" w:sz="0" w:space="0" w:color="auto"/>
        <w:left w:val="none" w:sz="0" w:space="0" w:color="auto"/>
        <w:bottom w:val="none" w:sz="0" w:space="0" w:color="auto"/>
        <w:right w:val="none" w:sz="0" w:space="0" w:color="auto"/>
      </w:divBdr>
    </w:div>
    <w:div w:id="2043549018">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170B91"/>
    <w:rsid w:val="004A779D"/>
    <w:rsid w:val="005F57D8"/>
    <w:rsid w:val="00D64D66"/>
    <w:rsid w:val="00E1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70B91"/>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94AF-CCBC-4F87-9A57-13494A7A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2019-05-31T19:16:00Z</dcterms:created>
  <dcterms:modified xsi:type="dcterms:W3CDTF">2019-05-31T19:16:00Z</dcterms:modified>
</cp:coreProperties>
</file>