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Pr="00E73B61" w:rsidRDefault="001D2409" w:rsidP="00E73B61">
      <w:pPr>
        <w:ind w:left="5041"/>
        <w:jc w:val="right"/>
        <w:rPr>
          <w:noProof/>
          <w:lang w:eastAsia="en-G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F913E2">
                              <w:rPr>
                                <w:rFonts w:ascii="Calibri" w:hAnsi="Calibri"/>
                                <w:b/>
                                <w:sz w:val="22"/>
                                <w:szCs w:val="22"/>
                              </w:rPr>
                              <w:t xml:space="preserve"> 07</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F913E2">
                        <w:rPr>
                          <w:rFonts w:ascii="Calibri" w:hAnsi="Calibri"/>
                          <w:b/>
                          <w:sz w:val="22"/>
                          <w:szCs w:val="22"/>
                        </w:rPr>
                        <w:t xml:space="preserve"> 07</w:t>
                      </w:r>
                      <w:bookmarkStart w:id="1" w:name="_GoBack"/>
                      <w:bookmarkEnd w:id="1"/>
                    </w:p>
                  </w:txbxContent>
                </v:textbox>
              </v:rect>
            </w:pict>
          </mc:Fallback>
        </mc:AlternateContent>
      </w:r>
      <w:r w:rsidR="003D7845" w:rsidRPr="003D7845">
        <w:t xml:space="preserve"> </w:t>
      </w:r>
      <w:r>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-70485</wp:posOffset>
                </wp:positionH>
                <wp:positionV relativeFrom="paragraph">
                  <wp:posOffset>10795</wp:posOffset>
                </wp:positionV>
                <wp:extent cx="6911340" cy="13106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10640"/>
                        </a:xfrm>
                        <a:prstGeom prst="rect">
                          <a:avLst/>
                        </a:prstGeom>
                        <a:solidFill>
                          <a:srgbClr val="FFFFFF"/>
                        </a:solidFill>
                        <a:ln w="38100" cmpd="dbl">
                          <a:solidFill>
                            <a:srgbClr val="000000"/>
                          </a:solidFill>
                          <a:miter lim="800000"/>
                          <a:headEnd/>
                          <a:tailEnd/>
                        </a:ln>
                      </wps:spPr>
                      <wps:txbx>
                        <w:txbxContent>
                          <w:p w:rsidR="00136B75"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347A15">
                              <w:rPr>
                                <w:rFonts w:ascii="Calibri" w:hAnsi="Calibri"/>
                                <w:sz w:val="22"/>
                                <w:szCs w:val="22"/>
                              </w:rPr>
                              <w:tab/>
                            </w:r>
                            <w:r w:rsidR="00347A15">
                              <w:rPr>
                                <w:rFonts w:ascii="Calibri" w:hAnsi="Calibri"/>
                                <w:sz w:val="22"/>
                                <w:szCs w:val="22"/>
                              </w:rPr>
                              <w:tab/>
                            </w:r>
                            <w:r w:rsidR="003C3603">
                              <w:rPr>
                                <w:rFonts w:ascii="Calibri" w:hAnsi="Calibri"/>
                                <w:sz w:val="22"/>
                                <w:szCs w:val="22"/>
                              </w:rPr>
                              <w:t>Governing Body</w:t>
                            </w:r>
                          </w:p>
                          <w:p w:rsidR="00347A15" w:rsidRPr="000D1B0D" w:rsidRDefault="00347A1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347A15">
                              <w:rPr>
                                <w:rFonts w:ascii="Calibri" w:hAnsi="Calibri"/>
                                <w:sz w:val="22"/>
                                <w:szCs w:val="22"/>
                              </w:rPr>
                              <w:tab/>
                            </w:r>
                            <w:r w:rsidR="003C3603">
                              <w:rPr>
                                <w:rFonts w:ascii="Calibri" w:hAnsi="Calibri"/>
                                <w:sz w:val="22"/>
                                <w:szCs w:val="22"/>
                              </w:rPr>
                              <w:t>14</w:t>
                            </w:r>
                            <w:r w:rsidR="003C3603" w:rsidRPr="003C3603">
                              <w:rPr>
                                <w:rFonts w:ascii="Calibri" w:hAnsi="Calibri"/>
                                <w:sz w:val="22"/>
                                <w:szCs w:val="22"/>
                                <w:vertAlign w:val="superscript"/>
                              </w:rPr>
                              <w:t>th</w:t>
                            </w:r>
                            <w:r w:rsidR="003C3603">
                              <w:rPr>
                                <w:rFonts w:ascii="Calibri" w:hAnsi="Calibri"/>
                                <w:sz w:val="22"/>
                                <w:szCs w:val="22"/>
                              </w:rPr>
                              <w:t xml:space="preserve"> November 2019</w:t>
                            </w:r>
                          </w:p>
                          <w:p w:rsidR="00136B75" w:rsidRPr="000D1B0D" w:rsidRDefault="00136B75">
                            <w:pPr>
                              <w:rPr>
                                <w:rFonts w:ascii="Calibri" w:hAnsi="Calibri"/>
                                <w:sz w:val="22"/>
                                <w:szCs w:val="22"/>
                              </w:rPr>
                            </w:pPr>
                          </w:p>
                          <w:p w:rsidR="00136B75" w:rsidRDefault="00136B75">
                            <w:pPr>
                              <w:rPr>
                                <w:rFonts w:asciiTheme="minorHAnsi" w:hAnsiTheme="minorHAnsi" w:cstheme="minorHAnsi"/>
                                <w:iCs/>
                                <w:color w:val="000000"/>
                                <w:sz w:val="22"/>
                                <w:szCs w:val="22"/>
                                <w:lang w:eastAsia="en-GB"/>
                              </w:rPr>
                            </w:pPr>
                            <w:r w:rsidRPr="000D1B0D">
                              <w:rPr>
                                <w:rFonts w:ascii="Calibri" w:hAnsi="Calibri"/>
                                <w:sz w:val="22"/>
                                <w:szCs w:val="22"/>
                              </w:rPr>
                              <w:t>Subject</w:t>
                            </w:r>
                            <w:r w:rsidRPr="003C3603">
                              <w:rPr>
                                <w:rFonts w:asciiTheme="minorHAnsi" w:hAnsiTheme="minorHAnsi" w:cstheme="minorHAnsi"/>
                                <w:sz w:val="22"/>
                                <w:szCs w:val="22"/>
                              </w:rPr>
                              <w:t>:</w:t>
                            </w:r>
                            <w:r w:rsidR="003C3603" w:rsidRPr="003C3603">
                              <w:rPr>
                                <w:rFonts w:asciiTheme="minorHAnsi" w:hAnsiTheme="minorHAnsi" w:cstheme="minorHAnsi"/>
                                <w:iCs/>
                                <w:color w:val="000000"/>
                                <w:lang w:eastAsia="en-GB"/>
                              </w:rPr>
                              <w:t xml:space="preserve"> </w:t>
                            </w:r>
                            <w:r w:rsidR="00347A15">
                              <w:rPr>
                                <w:rFonts w:asciiTheme="minorHAnsi" w:hAnsiTheme="minorHAnsi" w:cstheme="minorHAnsi"/>
                                <w:iCs/>
                                <w:color w:val="000000"/>
                                <w:lang w:eastAsia="en-GB"/>
                              </w:rPr>
                              <w:tab/>
                            </w:r>
                            <w:r w:rsidR="00347A15">
                              <w:rPr>
                                <w:rFonts w:asciiTheme="minorHAnsi" w:hAnsiTheme="minorHAnsi" w:cstheme="minorHAnsi"/>
                                <w:iCs/>
                                <w:color w:val="000000"/>
                                <w:lang w:eastAsia="en-GB"/>
                              </w:rPr>
                              <w:tab/>
                            </w:r>
                            <w:r w:rsidR="003C3603" w:rsidRPr="003C3603">
                              <w:rPr>
                                <w:rFonts w:asciiTheme="minorHAnsi" w:hAnsiTheme="minorHAnsi" w:cstheme="minorHAnsi"/>
                                <w:iCs/>
                                <w:color w:val="000000"/>
                                <w:sz w:val="22"/>
                                <w:szCs w:val="22"/>
                                <w:lang w:eastAsia="en-GB"/>
                              </w:rPr>
                              <w:t xml:space="preserve">Operational Plan update </w:t>
                            </w:r>
                          </w:p>
                          <w:p w:rsidR="00297E97" w:rsidRPr="000D1B0D" w:rsidRDefault="00297E97">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3C3603">
                              <w:rPr>
                                <w:rFonts w:ascii="Calibri" w:hAnsi="Calibri"/>
                                <w:sz w:val="22"/>
                                <w:szCs w:val="22"/>
                              </w:rPr>
                              <w:t xml:space="preserve"> </w:t>
                            </w:r>
                            <w:r w:rsidR="00347A15">
                              <w:rPr>
                                <w:rFonts w:ascii="Calibri" w:hAnsi="Calibri"/>
                                <w:sz w:val="22"/>
                                <w:szCs w:val="22"/>
                              </w:rPr>
                              <w:tab/>
                            </w:r>
                            <w:r w:rsidR="00297E97">
                              <w:rPr>
                                <w:rFonts w:ascii="Calibri" w:hAnsi="Calibri"/>
                                <w:sz w:val="22"/>
                                <w:szCs w:val="22"/>
                              </w:rPr>
                              <w:tab/>
                            </w:r>
                            <w:r w:rsidR="003C3603">
                              <w:rPr>
                                <w:rFonts w:ascii="Calibri" w:hAnsi="Calibri"/>
                                <w:sz w:val="22"/>
                                <w:szCs w:val="22"/>
                              </w:rPr>
                              <w:t>Laura Whitton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7" style="position:absolute;left:0;text-align:left;margin-left:-5.55pt;margin-top:.85pt;width:544.2pt;height:10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" strokeweight="3pt">
                <v:stroke linestyle="thinThin"/>
                <v:textbox>
                  <w:txbxContent>
                    <w:p w:rsidR="00136B75"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347A15">
                        <w:rPr>
                          <w:rFonts w:ascii="Calibri" w:hAnsi="Calibri"/>
                          <w:sz w:val="22"/>
                          <w:szCs w:val="22"/>
                        </w:rPr>
                        <w:tab/>
                      </w:r>
                      <w:r w:rsidR="00347A15">
                        <w:rPr>
                          <w:rFonts w:ascii="Calibri" w:hAnsi="Calibri"/>
                          <w:sz w:val="22"/>
                          <w:szCs w:val="22"/>
                        </w:rPr>
                        <w:tab/>
                      </w:r>
                      <w:r w:rsidR="003C3603">
                        <w:rPr>
                          <w:rFonts w:ascii="Calibri" w:hAnsi="Calibri"/>
                          <w:sz w:val="22"/>
                          <w:szCs w:val="22"/>
                        </w:rPr>
                        <w:t>Governing Body</w:t>
                      </w:r>
                    </w:p>
                    <w:p w:rsidR="00347A15" w:rsidRPr="000D1B0D" w:rsidRDefault="00347A1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347A15">
                        <w:rPr>
                          <w:rFonts w:ascii="Calibri" w:hAnsi="Calibri"/>
                          <w:sz w:val="22"/>
                          <w:szCs w:val="22"/>
                        </w:rPr>
                        <w:tab/>
                      </w:r>
                      <w:r w:rsidR="003C3603">
                        <w:rPr>
                          <w:rFonts w:ascii="Calibri" w:hAnsi="Calibri"/>
                          <w:sz w:val="22"/>
                          <w:szCs w:val="22"/>
                        </w:rPr>
                        <w:t>14</w:t>
                      </w:r>
                      <w:r w:rsidR="003C3603" w:rsidRPr="003C3603">
                        <w:rPr>
                          <w:rFonts w:ascii="Calibri" w:hAnsi="Calibri"/>
                          <w:sz w:val="22"/>
                          <w:szCs w:val="22"/>
                          <w:vertAlign w:val="superscript"/>
                        </w:rPr>
                        <w:t>th</w:t>
                      </w:r>
                      <w:r w:rsidR="003C3603">
                        <w:rPr>
                          <w:rFonts w:ascii="Calibri" w:hAnsi="Calibri"/>
                          <w:sz w:val="22"/>
                          <w:szCs w:val="22"/>
                        </w:rPr>
                        <w:t xml:space="preserve"> November 2019</w:t>
                      </w:r>
                    </w:p>
                    <w:p w:rsidR="00136B75" w:rsidRPr="000D1B0D" w:rsidRDefault="00136B75">
                      <w:pPr>
                        <w:rPr>
                          <w:rFonts w:ascii="Calibri" w:hAnsi="Calibri"/>
                          <w:sz w:val="22"/>
                          <w:szCs w:val="22"/>
                        </w:rPr>
                      </w:pPr>
                    </w:p>
                    <w:p w:rsidR="00136B75" w:rsidRDefault="00136B75">
                      <w:pPr>
                        <w:rPr>
                          <w:rFonts w:asciiTheme="minorHAnsi" w:hAnsiTheme="minorHAnsi" w:cstheme="minorHAnsi"/>
                          <w:iCs/>
                          <w:color w:val="000000"/>
                          <w:sz w:val="22"/>
                          <w:szCs w:val="22"/>
                          <w:lang w:eastAsia="en-GB"/>
                        </w:rPr>
                      </w:pPr>
                      <w:r w:rsidRPr="000D1B0D">
                        <w:rPr>
                          <w:rFonts w:ascii="Calibri" w:hAnsi="Calibri"/>
                          <w:sz w:val="22"/>
                          <w:szCs w:val="22"/>
                        </w:rPr>
                        <w:t>Subject</w:t>
                      </w:r>
                      <w:r w:rsidRPr="003C3603">
                        <w:rPr>
                          <w:rFonts w:asciiTheme="minorHAnsi" w:hAnsiTheme="minorHAnsi" w:cstheme="minorHAnsi"/>
                          <w:sz w:val="22"/>
                          <w:szCs w:val="22"/>
                        </w:rPr>
                        <w:t>:</w:t>
                      </w:r>
                      <w:r w:rsidR="003C3603" w:rsidRPr="003C3603">
                        <w:rPr>
                          <w:rFonts w:asciiTheme="minorHAnsi" w:hAnsiTheme="minorHAnsi" w:cstheme="minorHAnsi"/>
                          <w:iCs/>
                          <w:color w:val="000000"/>
                          <w:lang w:eastAsia="en-GB"/>
                        </w:rPr>
                        <w:t xml:space="preserve"> </w:t>
                      </w:r>
                      <w:r w:rsidR="00347A15">
                        <w:rPr>
                          <w:rFonts w:asciiTheme="minorHAnsi" w:hAnsiTheme="minorHAnsi" w:cstheme="minorHAnsi"/>
                          <w:iCs/>
                          <w:color w:val="000000"/>
                          <w:lang w:eastAsia="en-GB"/>
                        </w:rPr>
                        <w:tab/>
                      </w:r>
                      <w:r w:rsidR="00347A15">
                        <w:rPr>
                          <w:rFonts w:asciiTheme="minorHAnsi" w:hAnsiTheme="minorHAnsi" w:cstheme="minorHAnsi"/>
                          <w:iCs/>
                          <w:color w:val="000000"/>
                          <w:lang w:eastAsia="en-GB"/>
                        </w:rPr>
                        <w:tab/>
                      </w:r>
                      <w:r w:rsidR="003C3603" w:rsidRPr="003C3603">
                        <w:rPr>
                          <w:rFonts w:asciiTheme="minorHAnsi" w:hAnsiTheme="minorHAnsi" w:cstheme="minorHAnsi"/>
                          <w:iCs/>
                          <w:color w:val="000000"/>
                          <w:sz w:val="22"/>
                          <w:szCs w:val="22"/>
                          <w:lang w:eastAsia="en-GB"/>
                        </w:rPr>
                        <w:t xml:space="preserve">Operational Plan update </w:t>
                      </w:r>
                    </w:p>
                    <w:p w:rsidR="00297E97" w:rsidRPr="000D1B0D" w:rsidRDefault="00297E97">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3C3603">
                        <w:rPr>
                          <w:rFonts w:ascii="Calibri" w:hAnsi="Calibri"/>
                          <w:sz w:val="22"/>
                          <w:szCs w:val="22"/>
                        </w:rPr>
                        <w:t xml:space="preserve"> </w:t>
                      </w:r>
                      <w:r w:rsidR="00347A15">
                        <w:rPr>
                          <w:rFonts w:ascii="Calibri" w:hAnsi="Calibri"/>
                          <w:sz w:val="22"/>
                          <w:szCs w:val="22"/>
                        </w:rPr>
                        <w:tab/>
                      </w:r>
                      <w:r w:rsidR="00297E97">
                        <w:rPr>
                          <w:rFonts w:ascii="Calibri" w:hAnsi="Calibri"/>
                          <w:sz w:val="22"/>
                          <w:szCs w:val="22"/>
                        </w:rPr>
                        <w:tab/>
                      </w:r>
                      <w:r w:rsidR="003C3603">
                        <w:rPr>
                          <w:rFonts w:ascii="Calibri" w:hAnsi="Calibri"/>
                          <w:sz w:val="22"/>
                          <w:szCs w:val="22"/>
                        </w:rPr>
                        <w:t>Laura Whitton</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1"/>
                                  <w14:checkedState w14:val="2612" w14:font="MS Gothic"/>
                                  <w14:uncheckedState w14:val="2610" w14:font="MS Gothic"/>
                                </w14:checkbox>
                              </w:sdtPr>
                              <w:sdtEndPr/>
                              <w:sdtContent>
                                <w:r w:rsidR="003C3603">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02F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1"/>
                            <w14:checkedState w14:val="2612" w14:font="MS Gothic"/>
                            <w14:uncheckedState w14:val="2610" w14:font="MS Gothic"/>
                          </w14:checkbox>
                        </w:sdtPr>
                        <w:sdtEndPr/>
                        <w:sdtContent>
                          <w:r w:rsidR="003C3603">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02F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6380"/>
        <w:gridCol w:w="1831"/>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3C3603">
            <w:pPr>
              <w:pStyle w:val="NoSpacing"/>
              <w:rPr>
                <w:rFonts w:cs="Calibri"/>
                <w:b/>
                <w:sz w:val="20"/>
                <w:szCs w:val="20"/>
              </w:rPr>
            </w:pPr>
          </w:p>
        </w:tc>
        <w:tc>
          <w:tcPr>
            <w:tcW w:w="3817" w:type="pct"/>
            <w:gridSpan w:val="2"/>
            <w:shd w:val="clear" w:color="auto" w:fill="auto"/>
          </w:tcPr>
          <w:p w:rsidR="00E76606" w:rsidRDefault="003C3603" w:rsidP="000D1B0D">
            <w:pPr>
              <w:pStyle w:val="Default"/>
              <w:jc w:val="both"/>
              <w:rPr>
                <w:rFonts w:ascii="Calibri" w:hAnsi="Calibri" w:cs="Calibri"/>
                <w:sz w:val="22"/>
                <w:szCs w:val="22"/>
              </w:rPr>
            </w:pPr>
            <w:r w:rsidRPr="00297E97">
              <w:rPr>
                <w:rFonts w:ascii="Calibri" w:hAnsi="Calibri" w:cs="Calibri"/>
                <w:sz w:val="22"/>
                <w:szCs w:val="22"/>
              </w:rPr>
              <w:t xml:space="preserve">To update the Governing Body on </w:t>
            </w:r>
            <w:r w:rsidR="00297E97">
              <w:rPr>
                <w:rFonts w:ascii="Calibri" w:hAnsi="Calibri" w:cs="Calibri"/>
                <w:sz w:val="22"/>
                <w:szCs w:val="22"/>
              </w:rPr>
              <w:t>the process</w:t>
            </w:r>
            <w:r w:rsidRPr="00297E97">
              <w:rPr>
                <w:rFonts w:ascii="Calibri" w:hAnsi="Calibri" w:cs="Calibri"/>
                <w:sz w:val="22"/>
                <w:szCs w:val="22"/>
              </w:rPr>
              <w:t xml:space="preserve"> and arrangements for putting in place </w:t>
            </w:r>
            <w:r w:rsidR="00BB23A5" w:rsidRPr="00297E97">
              <w:rPr>
                <w:rFonts w:ascii="Calibri" w:hAnsi="Calibri" w:cs="Calibri"/>
                <w:sz w:val="22"/>
                <w:szCs w:val="22"/>
              </w:rPr>
              <w:t xml:space="preserve">CCG </w:t>
            </w:r>
            <w:r w:rsidRPr="00297E97">
              <w:rPr>
                <w:rFonts w:ascii="Calibri" w:hAnsi="Calibri" w:cs="Calibri"/>
                <w:sz w:val="22"/>
                <w:szCs w:val="22"/>
              </w:rPr>
              <w:t>operational plans for 20/21</w:t>
            </w:r>
            <w:r w:rsidR="00297E97">
              <w:rPr>
                <w:rFonts w:ascii="Calibri" w:hAnsi="Calibri" w:cs="Calibri"/>
                <w:sz w:val="22"/>
                <w:szCs w:val="22"/>
              </w:rPr>
              <w:t>.</w:t>
            </w:r>
          </w:p>
          <w:p w:rsidR="009558BC" w:rsidRPr="009558BC" w:rsidRDefault="00297E97" w:rsidP="00297E97">
            <w:pPr>
              <w:pStyle w:val="Default"/>
              <w:jc w:val="both"/>
              <w:rPr>
                <w:rFonts w:ascii="Calibri" w:hAnsi="Calibri" w:cs="Calibri"/>
                <w:sz w:val="22"/>
                <w:szCs w:val="22"/>
              </w:rPr>
            </w:pPr>
            <w:r w:rsidRPr="009558BC">
              <w:rPr>
                <w:rFonts w:ascii="Calibri" w:hAnsi="Calibri" w:cs="Calibri"/>
                <w:sz w:val="22"/>
                <w:szCs w:val="22"/>
              </w:rPr>
              <w:t xml:space="preserve">Development of the medium term plan (19/20 – 24/25) has been taking place over the last few months in the CCG and in conjunction with NELC colleagues to ensure a broad spectrum of input. This </w:t>
            </w:r>
            <w:r w:rsidR="009558BC" w:rsidRPr="009558BC">
              <w:rPr>
                <w:rFonts w:ascii="Calibri" w:hAnsi="Calibri" w:cs="Calibri"/>
                <w:sz w:val="22"/>
                <w:szCs w:val="22"/>
              </w:rPr>
              <w:t xml:space="preserve">work has been done alongside the </w:t>
            </w:r>
            <w:r w:rsidR="009558BC">
              <w:rPr>
                <w:rFonts w:ascii="Calibri" w:hAnsi="Calibri" w:cs="Calibri"/>
                <w:sz w:val="22"/>
                <w:szCs w:val="22"/>
              </w:rPr>
              <w:t xml:space="preserve">HCV Partnership </w:t>
            </w:r>
            <w:r w:rsidR="009558BC" w:rsidRPr="009558BC">
              <w:rPr>
                <w:rFonts w:ascii="Calibri" w:hAnsi="Calibri" w:cs="Calibri"/>
                <w:sz w:val="22"/>
                <w:szCs w:val="22"/>
              </w:rPr>
              <w:t xml:space="preserve">planning process and </w:t>
            </w:r>
            <w:r w:rsidRPr="009558BC">
              <w:rPr>
                <w:rFonts w:ascii="Calibri" w:hAnsi="Calibri" w:cs="Calibri"/>
                <w:sz w:val="22"/>
                <w:szCs w:val="22"/>
              </w:rPr>
              <w:t xml:space="preserve">has included </w:t>
            </w:r>
            <w:r w:rsidR="009558BC" w:rsidRPr="009558BC">
              <w:rPr>
                <w:rFonts w:ascii="Calibri" w:hAnsi="Calibri" w:cs="Calibri"/>
                <w:sz w:val="22"/>
                <w:szCs w:val="22"/>
              </w:rPr>
              <w:t>:-</w:t>
            </w:r>
          </w:p>
          <w:p w:rsidR="00297E97" w:rsidRPr="009558BC" w:rsidRDefault="00297E97" w:rsidP="009558BC">
            <w:pPr>
              <w:pStyle w:val="Default"/>
              <w:numPr>
                <w:ilvl w:val="0"/>
                <w:numId w:val="7"/>
              </w:numPr>
              <w:jc w:val="both"/>
              <w:rPr>
                <w:rFonts w:ascii="Calibri" w:hAnsi="Calibri" w:cs="Calibri"/>
                <w:sz w:val="22"/>
                <w:szCs w:val="22"/>
              </w:rPr>
            </w:pPr>
            <w:r w:rsidRPr="009558BC">
              <w:rPr>
                <w:rFonts w:ascii="Calibri" w:hAnsi="Calibri" w:cs="Calibri"/>
                <w:sz w:val="22"/>
                <w:szCs w:val="22"/>
              </w:rPr>
              <w:t xml:space="preserve">activity </w:t>
            </w:r>
            <w:r w:rsidR="009558BC" w:rsidRPr="009558BC">
              <w:rPr>
                <w:rFonts w:ascii="Calibri" w:hAnsi="Calibri" w:cs="Calibri"/>
                <w:sz w:val="22"/>
                <w:szCs w:val="22"/>
              </w:rPr>
              <w:t>plans e.g. referrals</w:t>
            </w:r>
          </w:p>
          <w:p w:rsidR="009558BC" w:rsidRPr="009558BC" w:rsidRDefault="009558BC" w:rsidP="009558BC">
            <w:pPr>
              <w:pStyle w:val="Default"/>
              <w:numPr>
                <w:ilvl w:val="0"/>
                <w:numId w:val="7"/>
              </w:numPr>
              <w:jc w:val="both"/>
              <w:rPr>
                <w:rFonts w:ascii="Calibri" w:hAnsi="Calibri" w:cs="Calibri"/>
                <w:sz w:val="22"/>
                <w:szCs w:val="22"/>
              </w:rPr>
            </w:pPr>
            <w:r w:rsidRPr="009558BC">
              <w:rPr>
                <w:rFonts w:ascii="Calibri" w:hAnsi="Calibri" w:cs="Calibri"/>
                <w:sz w:val="22"/>
                <w:szCs w:val="22"/>
              </w:rPr>
              <w:t>performance assumptions e.g. RTT list size</w:t>
            </w:r>
          </w:p>
          <w:p w:rsidR="009558BC" w:rsidRPr="009558BC" w:rsidRDefault="009558BC" w:rsidP="009558BC">
            <w:pPr>
              <w:pStyle w:val="Default"/>
              <w:numPr>
                <w:ilvl w:val="0"/>
                <w:numId w:val="7"/>
              </w:numPr>
              <w:jc w:val="both"/>
              <w:rPr>
                <w:rFonts w:ascii="Calibri" w:hAnsi="Calibri" w:cs="Calibri"/>
                <w:sz w:val="22"/>
                <w:szCs w:val="22"/>
              </w:rPr>
            </w:pPr>
            <w:r w:rsidRPr="009558BC">
              <w:rPr>
                <w:rFonts w:ascii="Calibri" w:hAnsi="Calibri" w:cs="Calibri"/>
                <w:sz w:val="22"/>
                <w:szCs w:val="22"/>
              </w:rPr>
              <w:t>finance</w:t>
            </w:r>
          </w:p>
          <w:p w:rsidR="00297E97" w:rsidRDefault="00FD4ACF" w:rsidP="00297E97">
            <w:pPr>
              <w:pStyle w:val="Default"/>
              <w:jc w:val="both"/>
              <w:rPr>
                <w:rFonts w:ascii="Calibri" w:hAnsi="Calibri" w:cs="Calibri"/>
                <w:sz w:val="22"/>
                <w:szCs w:val="22"/>
              </w:rPr>
            </w:pPr>
            <w:r w:rsidRPr="00FD4ACF">
              <w:rPr>
                <w:rFonts w:ascii="Calibri" w:hAnsi="Calibri" w:cs="Calibri"/>
                <w:sz w:val="22"/>
                <w:szCs w:val="22"/>
              </w:rPr>
              <w:t>The deadline for submission of the HCV Partnership long term plan is the 15</w:t>
            </w:r>
            <w:r w:rsidRPr="00FD4ACF">
              <w:rPr>
                <w:rFonts w:ascii="Calibri" w:hAnsi="Calibri" w:cs="Calibri"/>
                <w:sz w:val="22"/>
                <w:szCs w:val="22"/>
                <w:vertAlign w:val="superscript"/>
              </w:rPr>
              <w:t>th</w:t>
            </w:r>
            <w:r w:rsidRPr="00FD4ACF">
              <w:rPr>
                <w:rFonts w:ascii="Calibri" w:hAnsi="Calibri" w:cs="Calibri"/>
                <w:sz w:val="22"/>
                <w:szCs w:val="22"/>
              </w:rPr>
              <w:t xml:space="preserve"> November.</w:t>
            </w:r>
          </w:p>
          <w:p w:rsidR="0061670D" w:rsidRDefault="0061670D" w:rsidP="00297E97">
            <w:pPr>
              <w:pStyle w:val="Default"/>
              <w:jc w:val="both"/>
              <w:rPr>
                <w:rFonts w:ascii="Calibri" w:hAnsi="Calibri" w:cs="Calibri"/>
                <w:sz w:val="22"/>
                <w:szCs w:val="22"/>
              </w:rPr>
            </w:pPr>
            <w:r>
              <w:rPr>
                <w:rFonts w:ascii="Calibri" w:hAnsi="Calibri" w:cs="Calibri"/>
                <w:sz w:val="22"/>
                <w:szCs w:val="22"/>
              </w:rPr>
              <w:t>The table below describes the suite of strategic plans and shows how they align to ensure there is a cohesive strategic plan for “place”.</w:t>
            </w:r>
          </w:p>
          <w:p w:rsidR="0061670D" w:rsidRDefault="0061670D" w:rsidP="00297E97">
            <w:pPr>
              <w:pStyle w:val="Default"/>
              <w:jc w:val="both"/>
              <w:rPr>
                <w:rFonts w:ascii="Calibri" w:hAnsi="Calibri" w:cs="Calibri"/>
                <w:sz w:val="22"/>
                <w:szCs w:val="22"/>
              </w:rPr>
            </w:pPr>
          </w:p>
          <w:p w:rsidR="0061670D" w:rsidRDefault="0061670D" w:rsidP="00297E97">
            <w:pPr>
              <w:pStyle w:val="Default"/>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3872" behindDoc="0" locked="0" layoutInCell="1" allowOverlap="1" wp14:anchorId="2BD34922" wp14:editId="63A96787">
                      <wp:simplePos x="0" y="0"/>
                      <wp:positionH relativeFrom="column">
                        <wp:posOffset>3619500</wp:posOffset>
                      </wp:positionH>
                      <wp:positionV relativeFrom="paragraph">
                        <wp:posOffset>11430</wp:posOffset>
                      </wp:positionV>
                      <wp:extent cx="1167765" cy="590550"/>
                      <wp:effectExtent l="0" t="0" r="13335" b="19050"/>
                      <wp:wrapNone/>
                      <wp:docPr id="9" name="Rounded Rectangle 9"/>
                      <wp:cNvGraphicFramePr/>
                      <a:graphic xmlns:a="http://schemas.openxmlformats.org/drawingml/2006/main">
                        <a:graphicData uri="http://schemas.microsoft.com/office/word/2010/wordprocessingShape">
                          <wps:wsp>
                            <wps:cNvSpPr/>
                            <wps:spPr>
                              <a:xfrm>
                                <a:off x="0" y="0"/>
                                <a:ext cx="1167765" cy="590550"/>
                              </a:xfrm>
                              <a:prstGeom prst="round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61670D" w:rsidRDefault="00DB2D89" w:rsidP="0061670D">
                                  <w:pPr>
                                    <w:jc w:val="center"/>
                                  </w:pPr>
                                  <w:r>
                                    <w:t>NELC Not Joint</w:t>
                                  </w:r>
                                  <w:r w:rsidR="0061670D">
                                    <w:t xml:space="preserv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D34922" id="Rounded Rectangle 9" o:spid="_x0000_s1029" style="position:absolute;left:0;text-align:left;margin-left:285pt;margin-top:.9pt;width:91.95pt;height:46.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" fillcolor="window" strokecolor="#404040" strokeweight="2pt">
                      <v:textbox>
                        <w:txbxContent>
                          <w:p w:rsidR="0061670D" w:rsidRDefault="00DB2D89" w:rsidP="0061670D">
                            <w:pPr>
                              <w:jc w:val="center"/>
                            </w:pPr>
                            <w:r>
                              <w:t>NELC Not Joint</w:t>
                            </w:r>
                            <w:r w:rsidR="0061670D">
                              <w:t xml:space="preserve"> Activity</w:t>
                            </w:r>
                          </w:p>
                        </w:txbxContent>
                      </v:textbox>
                    </v:roundrect>
                  </w:pict>
                </mc:Fallback>
              </mc:AlternateContent>
            </w:r>
            <w:r>
              <w:rPr>
                <w:rFonts w:ascii="Calibri" w:hAnsi="Calibri" w:cs="Calibri"/>
                <w:noProof/>
                <w:sz w:val="22"/>
                <w:szCs w:val="22"/>
              </w:rPr>
              <mc:AlternateContent>
                <mc:Choice Requires="wps">
                  <w:drawing>
                    <wp:anchor distT="0" distB="0" distL="114300" distR="114300" simplePos="0" relativeHeight="251661824" behindDoc="0" locked="0" layoutInCell="1" allowOverlap="1" wp14:anchorId="7678691F" wp14:editId="0465BBB5">
                      <wp:simplePos x="0" y="0"/>
                      <wp:positionH relativeFrom="column">
                        <wp:posOffset>1981200</wp:posOffset>
                      </wp:positionH>
                      <wp:positionV relativeFrom="paragraph">
                        <wp:posOffset>30480</wp:posOffset>
                      </wp:positionV>
                      <wp:extent cx="1167765" cy="571500"/>
                      <wp:effectExtent l="0" t="0" r="13335" b="19050"/>
                      <wp:wrapNone/>
                      <wp:docPr id="8" name="Rounded Rectangle 8"/>
                      <wp:cNvGraphicFramePr/>
                      <a:graphic xmlns:a="http://schemas.openxmlformats.org/drawingml/2006/main">
                        <a:graphicData uri="http://schemas.microsoft.com/office/word/2010/wordprocessingShape">
                          <wps:wsp>
                            <wps:cNvSpPr/>
                            <wps:spPr>
                              <a:xfrm>
                                <a:off x="0" y="0"/>
                                <a:ext cx="1167765" cy="571500"/>
                              </a:xfrm>
                              <a:prstGeom prst="round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61670D" w:rsidRDefault="0061670D" w:rsidP="0061670D">
                                  <w:pPr>
                                    <w:jc w:val="center"/>
                                  </w:pPr>
                                  <w:r>
                                    <w:t>NELC Joint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78691F" id="Rounded Rectangle 8" o:spid="_x0000_s1030" style="position:absolute;left:0;text-align:left;margin-left:156pt;margin-top:2.4pt;width:91.95pt;height:4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" fillcolor="window" strokecolor="#404040" strokeweight="2pt">
                      <v:textbox>
                        <w:txbxContent>
                          <w:p w:rsidR="0061670D" w:rsidRDefault="0061670D" w:rsidP="0061670D">
                            <w:pPr>
                              <w:jc w:val="center"/>
                            </w:pPr>
                            <w:r>
                              <w:t>NELC Joint Activity</w:t>
                            </w:r>
                          </w:p>
                        </w:txbxContent>
                      </v:textbox>
                    </v:roundrect>
                  </w:pict>
                </mc:Fallback>
              </mc:AlternateContent>
            </w:r>
            <w:r>
              <w:rPr>
                <w:rFonts w:ascii="Calibri" w:hAnsi="Calibri" w:cs="Calibri"/>
                <w:noProof/>
                <w:sz w:val="22"/>
                <w:szCs w:val="22"/>
              </w:rPr>
              <mc:AlternateContent>
                <mc:Choice Requires="wps">
                  <w:drawing>
                    <wp:anchor distT="0" distB="0" distL="114300" distR="114300" simplePos="0" relativeHeight="251659776" behindDoc="0" locked="0" layoutInCell="1" allowOverlap="1">
                      <wp:simplePos x="0" y="0"/>
                      <wp:positionH relativeFrom="column">
                        <wp:posOffset>266700</wp:posOffset>
                      </wp:positionH>
                      <wp:positionV relativeFrom="paragraph">
                        <wp:posOffset>30480</wp:posOffset>
                      </wp:positionV>
                      <wp:extent cx="1167765" cy="571500"/>
                      <wp:effectExtent l="0" t="0" r="13335" b="19050"/>
                      <wp:wrapNone/>
                      <wp:docPr id="4" name="Rounded Rectangle 4"/>
                      <wp:cNvGraphicFramePr/>
                      <a:graphic xmlns:a="http://schemas.openxmlformats.org/drawingml/2006/main">
                        <a:graphicData uri="http://schemas.microsoft.com/office/word/2010/wordprocessingShape">
                          <wps:wsp>
                            <wps:cNvSpPr/>
                            <wps:spPr>
                              <a:xfrm>
                                <a:off x="0" y="0"/>
                                <a:ext cx="1167765" cy="571500"/>
                              </a:xfrm>
                              <a:prstGeom prst="roundRect">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61670D" w:rsidRDefault="0061670D" w:rsidP="0061670D">
                                  <w:pPr>
                                    <w:jc w:val="center"/>
                                  </w:pPr>
                                  <w:r>
                                    <w:t>CCG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31" style="position:absolute;left:0;text-align:left;margin-left:21pt;margin-top:2.4pt;width:91.95pt;height:4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" fillcolor="white [3201]" strokecolor="#404040 [2429]" strokeweight="2pt">
                      <v:textbox>
                        <w:txbxContent>
                          <w:p w:rsidR="0061670D" w:rsidRDefault="0061670D" w:rsidP="0061670D">
                            <w:pPr>
                              <w:jc w:val="center"/>
                            </w:pPr>
                            <w:r>
                              <w:t>CCG Activity</w:t>
                            </w:r>
                          </w:p>
                        </w:txbxContent>
                      </v:textbox>
                    </v:roundrect>
                  </w:pict>
                </mc:Fallback>
              </mc:AlternateContent>
            </w:r>
          </w:p>
          <w:p w:rsidR="0061670D" w:rsidRDefault="0061670D" w:rsidP="00297E97">
            <w:pPr>
              <w:pStyle w:val="Default"/>
              <w:jc w:val="both"/>
              <w:rPr>
                <w:rFonts w:ascii="Calibri" w:hAnsi="Calibri" w:cs="Calibri"/>
                <w:sz w:val="22"/>
                <w:szCs w:val="22"/>
              </w:rPr>
            </w:pPr>
          </w:p>
          <w:p w:rsidR="0061670D" w:rsidRDefault="0061670D" w:rsidP="00297E97">
            <w:pPr>
              <w:pStyle w:val="Default"/>
              <w:jc w:val="both"/>
              <w:rPr>
                <w:rFonts w:ascii="Calibri" w:hAnsi="Calibri" w:cs="Calibri"/>
                <w:sz w:val="22"/>
                <w:szCs w:val="22"/>
              </w:rPr>
            </w:pPr>
          </w:p>
          <w:p w:rsidR="00DB2D89" w:rsidRDefault="005A47E4" w:rsidP="00297E97">
            <w:pPr>
              <w:pStyle w:val="Default"/>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71040" behindDoc="0" locked="0" layoutInCell="1" allowOverlap="1" wp14:anchorId="156B6A7B" wp14:editId="54E0AAE7">
                      <wp:simplePos x="0" y="0"/>
                      <wp:positionH relativeFrom="column">
                        <wp:posOffset>1638300</wp:posOffset>
                      </wp:positionH>
                      <wp:positionV relativeFrom="paragraph">
                        <wp:posOffset>109219</wp:posOffset>
                      </wp:positionV>
                      <wp:extent cx="981075" cy="333375"/>
                      <wp:effectExtent l="38100" t="19050" r="66675" b="85725"/>
                      <wp:wrapNone/>
                      <wp:docPr id="15" name="Straight Connector 15"/>
                      <wp:cNvGraphicFramePr/>
                      <a:graphic xmlns:a="http://schemas.openxmlformats.org/drawingml/2006/main">
                        <a:graphicData uri="http://schemas.microsoft.com/office/word/2010/wordprocessingShape">
                          <wps:wsp>
                            <wps:cNvCnPr/>
                            <wps:spPr>
                              <a:xfrm flipV="1">
                                <a:off x="0" y="0"/>
                                <a:ext cx="981075" cy="333375"/>
                              </a:xfrm>
                              <a:prstGeom prst="line">
                                <a:avLst/>
                              </a:prstGeom>
                              <a:noFill/>
                              <a:ln w="254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4AB3A21" id="Straight Connector 15"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8.6pt" to="206.2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" strokecolor="windowText" strokeweight="2pt">
                      <v:shadow on="t" color="black" opacity="22937f" origin=",.5" offset="0,.63889mm"/>
                    </v:line>
                  </w:pict>
                </mc:Fallback>
              </mc:AlternateContent>
            </w:r>
            <w:r>
              <w:rPr>
                <w:rFonts w:ascii="Calibri" w:hAnsi="Calibri" w:cs="Calibri"/>
                <w:noProof/>
                <w:sz w:val="22"/>
                <w:szCs w:val="22"/>
              </w:rPr>
              <mc:AlternateContent>
                <mc:Choice Requires="wps">
                  <w:drawing>
                    <wp:anchor distT="0" distB="0" distL="114300" distR="114300" simplePos="0" relativeHeight="251668992" behindDoc="0" locked="0" layoutInCell="1" allowOverlap="1">
                      <wp:simplePos x="0" y="0"/>
                      <wp:positionH relativeFrom="column">
                        <wp:posOffset>771525</wp:posOffset>
                      </wp:positionH>
                      <wp:positionV relativeFrom="paragraph">
                        <wp:posOffset>90169</wp:posOffset>
                      </wp:positionV>
                      <wp:extent cx="866775" cy="352425"/>
                      <wp:effectExtent l="38100" t="19050" r="66675" b="85725"/>
                      <wp:wrapNone/>
                      <wp:docPr id="14" name="Straight Connector 14"/>
                      <wp:cNvGraphicFramePr/>
                      <a:graphic xmlns:a="http://schemas.openxmlformats.org/drawingml/2006/main">
                        <a:graphicData uri="http://schemas.microsoft.com/office/word/2010/wordprocessingShape">
                          <wps:wsp>
                            <wps:cNvCnPr/>
                            <wps:spPr>
                              <a:xfrm>
                                <a:off x="0" y="0"/>
                                <a:ext cx="866775" cy="352425"/>
                              </a:xfrm>
                              <a:prstGeom prst="line">
                                <a:avLst/>
                              </a:prstGeom>
                              <a:ln w="254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D436E" id="Straight Connector 1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7.1pt" to="129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" strokecolor="black [3200]" strokeweight="2pt">
                      <v:shadow on="t" color="black" opacity="22937f" origin=",.5" offset="0,.63889mm"/>
                    </v:line>
                  </w:pict>
                </mc:Fallback>
              </mc:AlternateContent>
            </w:r>
          </w:p>
          <w:p w:rsidR="0061670D" w:rsidRDefault="0061670D" w:rsidP="00297E97">
            <w:pPr>
              <w:pStyle w:val="Default"/>
              <w:jc w:val="both"/>
              <w:rPr>
                <w:rFonts w:ascii="Calibri" w:hAnsi="Calibri" w:cs="Calibri"/>
                <w:sz w:val="22"/>
                <w:szCs w:val="22"/>
              </w:rPr>
            </w:pPr>
          </w:p>
          <w:p w:rsidR="00DB2D89" w:rsidRDefault="005A47E4" w:rsidP="00297E97">
            <w:pPr>
              <w:pStyle w:val="Default"/>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5920" behindDoc="0" locked="0" layoutInCell="1" allowOverlap="1" wp14:anchorId="7998A95B" wp14:editId="70A6118D">
                      <wp:simplePos x="0" y="0"/>
                      <wp:positionH relativeFrom="column">
                        <wp:posOffset>771525</wp:posOffset>
                      </wp:positionH>
                      <wp:positionV relativeFrom="paragraph">
                        <wp:posOffset>126365</wp:posOffset>
                      </wp:positionV>
                      <wp:extent cx="1762125" cy="73342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1762125" cy="733425"/>
                              </a:xfrm>
                              <a:prstGeom prst="round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DB2D89" w:rsidRDefault="00DB2D89" w:rsidP="00DB2D89">
                                  <w:pPr>
                                    <w:jc w:val="center"/>
                                  </w:pPr>
                                  <w:r>
                                    <w:t xml:space="preserve">CCG &amp; Union Strategic Plan (covers joint 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98A95B" id="Rounded Rectangle 12" o:spid="_x0000_s1032" style="position:absolute;left:0;text-align:left;margin-left:60.75pt;margin-top:9.95pt;width:138.75pt;height:5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" fillcolor="window" strokecolor="#404040" strokeweight="2pt">
                      <v:textbox>
                        <w:txbxContent>
                          <w:p w:rsidR="00DB2D89" w:rsidRDefault="00DB2D89" w:rsidP="00DB2D89">
                            <w:pPr>
                              <w:jc w:val="center"/>
                            </w:pPr>
                            <w:r>
                              <w:t xml:space="preserve">CCG &amp; Union Strategic Plan (covers joint work) </w:t>
                            </w:r>
                          </w:p>
                        </w:txbxContent>
                      </v:textbox>
                    </v:roundrect>
                  </w:pict>
                </mc:Fallback>
              </mc:AlternateContent>
            </w:r>
          </w:p>
          <w:p w:rsidR="00DB2D89" w:rsidRDefault="00DB2D89" w:rsidP="00297E97">
            <w:pPr>
              <w:pStyle w:val="Default"/>
              <w:jc w:val="both"/>
              <w:rPr>
                <w:rFonts w:ascii="Calibri" w:hAnsi="Calibri" w:cs="Calibri"/>
                <w:sz w:val="22"/>
                <w:szCs w:val="22"/>
              </w:rPr>
            </w:pPr>
          </w:p>
          <w:p w:rsidR="0061670D" w:rsidRDefault="0061670D" w:rsidP="00297E97">
            <w:pPr>
              <w:pStyle w:val="Default"/>
              <w:jc w:val="both"/>
              <w:rPr>
                <w:rFonts w:ascii="Calibri" w:hAnsi="Calibri" w:cs="Calibri"/>
                <w:sz w:val="22"/>
                <w:szCs w:val="22"/>
              </w:rPr>
            </w:pPr>
          </w:p>
          <w:p w:rsidR="0061670D" w:rsidRDefault="0061670D" w:rsidP="00297E97">
            <w:pPr>
              <w:pStyle w:val="Default"/>
              <w:jc w:val="both"/>
              <w:rPr>
                <w:rFonts w:ascii="Calibri" w:hAnsi="Calibri" w:cs="Calibri"/>
                <w:sz w:val="22"/>
                <w:szCs w:val="22"/>
              </w:rPr>
            </w:pPr>
          </w:p>
          <w:p w:rsidR="0061670D" w:rsidRDefault="0061670D" w:rsidP="00297E97">
            <w:pPr>
              <w:pStyle w:val="Default"/>
              <w:jc w:val="both"/>
              <w:rPr>
                <w:rFonts w:ascii="Calibri" w:hAnsi="Calibri" w:cs="Calibri"/>
                <w:sz w:val="22"/>
                <w:szCs w:val="22"/>
              </w:rPr>
            </w:pPr>
          </w:p>
          <w:p w:rsidR="0061670D" w:rsidRDefault="005A47E4" w:rsidP="00297E97">
            <w:pPr>
              <w:pStyle w:val="Default"/>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73088" behindDoc="0" locked="0" layoutInCell="1" allowOverlap="1" wp14:anchorId="1F54174C" wp14:editId="780E8989">
                      <wp:simplePos x="0" y="0"/>
                      <wp:positionH relativeFrom="column">
                        <wp:posOffset>1619250</wp:posOffset>
                      </wp:positionH>
                      <wp:positionV relativeFrom="paragraph">
                        <wp:posOffset>8255</wp:posOffset>
                      </wp:positionV>
                      <wp:extent cx="0" cy="295275"/>
                      <wp:effectExtent l="57150" t="19050" r="76200" b="85725"/>
                      <wp:wrapNone/>
                      <wp:docPr id="16" name="Straight Connector 16"/>
                      <wp:cNvGraphicFramePr/>
                      <a:graphic xmlns:a="http://schemas.openxmlformats.org/drawingml/2006/main">
                        <a:graphicData uri="http://schemas.microsoft.com/office/word/2010/wordprocessingShape">
                          <wps:wsp>
                            <wps:cNvCnPr/>
                            <wps:spPr>
                              <a:xfrm flipV="1">
                                <a:off x="0" y="0"/>
                                <a:ext cx="0" cy="295275"/>
                              </a:xfrm>
                              <a:prstGeom prst="line">
                                <a:avLst/>
                              </a:prstGeom>
                              <a:noFill/>
                              <a:ln w="254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43CA8D7" id="Straight Connector 16"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65pt" to="127.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" strokecolor="windowText" strokeweight="2pt">
                      <v:shadow on="t" color="black" opacity="22937f" origin=",.5" offset="0,.63889mm"/>
                    </v:line>
                  </w:pict>
                </mc:Fallback>
              </mc:AlternateContent>
            </w:r>
          </w:p>
          <w:p w:rsidR="0061670D" w:rsidRDefault="005A47E4" w:rsidP="00297E97">
            <w:pPr>
              <w:pStyle w:val="Default"/>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7968" behindDoc="0" locked="0" layoutInCell="1" allowOverlap="1" wp14:anchorId="708A56EE" wp14:editId="0635D94F">
                      <wp:simplePos x="0" y="0"/>
                      <wp:positionH relativeFrom="column">
                        <wp:posOffset>266065</wp:posOffset>
                      </wp:positionH>
                      <wp:positionV relativeFrom="paragraph">
                        <wp:posOffset>132080</wp:posOffset>
                      </wp:positionV>
                      <wp:extent cx="2809875" cy="11525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2809875" cy="1152525"/>
                              </a:xfrm>
                              <a:prstGeom prst="round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DB2D89" w:rsidRDefault="00DB2D89" w:rsidP="00DB2D89">
                                  <w:pPr>
                                    <w:jc w:val="center"/>
                                  </w:pPr>
                                  <w:r>
                                    <w:t>References additional strategies for:-Adult Services Strategy</w:t>
                                  </w:r>
                                </w:p>
                                <w:p w:rsidR="00DB2D89" w:rsidRDefault="00DB2D89" w:rsidP="00DB2D89">
                                  <w:pPr>
                                    <w:jc w:val="center"/>
                                  </w:pPr>
                                  <w:r>
                                    <w:t>Children’s Services</w:t>
                                  </w:r>
                                </w:p>
                                <w:p w:rsidR="00DB2D89" w:rsidRDefault="00DB2D89" w:rsidP="00DB2D89">
                                  <w:pPr>
                                    <w:jc w:val="center"/>
                                  </w:pPr>
                                  <w:r>
                                    <w:t>Safeguarding</w:t>
                                  </w:r>
                                </w:p>
                                <w:p w:rsidR="00DB2D89" w:rsidRDefault="00DB2D89" w:rsidP="00DB2D89">
                                  <w:pPr>
                                    <w:jc w:val="center"/>
                                  </w:pPr>
                                  <w:r>
                                    <w:t>Public Health – Wellbeing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8A56EE" id="Rounded Rectangle 13" o:spid="_x0000_s1033" style="position:absolute;left:0;text-align:left;margin-left:20.95pt;margin-top:10.4pt;width:221.25pt;height:9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" fillcolor="window" strokecolor="#404040" strokeweight="2pt">
                      <v:textbox>
                        <w:txbxContent>
                          <w:p w:rsidR="00DB2D89" w:rsidRDefault="00DB2D89" w:rsidP="00DB2D89">
                            <w:pPr>
                              <w:jc w:val="center"/>
                            </w:pPr>
                            <w:r>
                              <w:t>References additional strategies for:-Adult Services Strategy</w:t>
                            </w:r>
                          </w:p>
                          <w:p w:rsidR="00DB2D89" w:rsidRDefault="00DB2D89" w:rsidP="00DB2D89">
                            <w:pPr>
                              <w:jc w:val="center"/>
                            </w:pPr>
                            <w:r>
                              <w:t>Children’s Services</w:t>
                            </w:r>
                          </w:p>
                          <w:p w:rsidR="00DB2D89" w:rsidRDefault="00DB2D89" w:rsidP="00DB2D89">
                            <w:pPr>
                              <w:jc w:val="center"/>
                            </w:pPr>
                            <w:r>
                              <w:t>Safeguarding</w:t>
                            </w:r>
                          </w:p>
                          <w:p w:rsidR="00DB2D89" w:rsidRDefault="00DB2D89" w:rsidP="00DB2D89">
                            <w:pPr>
                              <w:jc w:val="center"/>
                            </w:pPr>
                            <w:r>
                              <w:t>Public Health – Wellbeing Framework</w:t>
                            </w:r>
                          </w:p>
                        </w:txbxContent>
                      </v:textbox>
                    </v:roundrect>
                  </w:pict>
                </mc:Fallback>
              </mc:AlternateContent>
            </w:r>
          </w:p>
          <w:p w:rsidR="0061670D" w:rsidRDefault="0061670D" w:rsidP="00297E97">
            <w:pPr>
              <w:pStyle w:val="Default"/>
              <w:jc w:val="both"/>
              <w:rPr>
                <w:rFonts w:ascii="Calibri" w:hAnsi="Calibri" w:cs="Calibri"/>
                <w:sz w:val="22"/>
                <w:szCs w:val="22"/>
              </w:rPr>
            </w:pPr>
          </w:p>
          <w:p w:rsidR="00DB2D89" w:rsidRDefault="00DB2D89" w:rsidP="00297E97">
            <w:pPr>
              <w:pStyle w:val="Default"/>
              <w:jc w:val="both"/>
              <w:rPr>
                <w:rFonts w:ascii="Calibri" w:hAnsi="Calibri" w:cs="Calibri"/>
                <w:sz w:val="22"/>
                <w:szCs w:val="22"/>
              </w:rPr>
            </w:pPr>
          </w:p>
          <w:p w:rsidR="0061670D" w:rsidRDefault="0061670D" w:rsidP="00297E97">
            <w:pPr>
              <w:pStyle w:val="Default"/>
              <w:jc w:val="both"/>
              <w:rPr>
                <w:rFonts w:ascii="Calibri" w:hAnsi="Calibri" w:cs="Calibri"/>
                <w:sz w:val="22"/>
                <w:szCs w:val="22"/>
              </w:rPr>
            </w:pPr>
          </w:p>
          <w:p w:rsidR="0061670D" w:rsidRDefault="0061670D" w:rsidP="00297E97">
            <w:pPr>
              <w:pStyle w:val="Default"/>
              <w:jc w:val="both"/>
              <w:rPr>
                <w:rFonts w:ascii="Calibri" w:hAnsi="Calibri" w:cs="Calibri"/>
                <w:sz w:val="22"/>
                <w:szCs w:val="22"/>
              </w:rPr>
            </w:pPr>
          </w:p>
          <w:p w:rsidR="0061670D" w:rsidRDefault="0061670D" w:rsidP="00297E97">
            <w:pPr>
              <w:pStyle w:val="Default"/>
              <w:jc w:val="both"/>
              <w:rPr>
                <w:rFonts w:ascii="Calibri" w:hAnsi="Calibri" w:cs="Calibri"/>
                <w:sz w:val="22"/>
                <w:szCs w:val="22"/>
              </w:rPr>
            </w:pPr>
          </w:p>
          <w:p w:rsidR="0061670D" w:rsidRDefault="0061670D" w:rsidP="00297E97">
            <w:pPr>
              <w:pStyle w:val="Default"/>
              <w:jc w:val="both"/>
              <w:rPr>
                <w:rFonts w:ascii="Calibri" w:hAnsi="Calibri" w:cs="Calibri"/>
                <w:sz w:val="22"/>
                <w:szCs w:val="22"/>
              </w:rPr>
            </w:pPr>
          </w:p>
          <w:p w:rsidR="0061670D" w:rsidRDefault="0061670D" w:rsidP="00297E97">
            <w:pPr>
              <w:pStyle w:val="Default"/>
              <w:jc w:val="both"/>
              <w:rPr>
                <w:rFonts w:ascii="Calibri" w:hAnsi="Calibri" w:cs="Calibri"/>
                <w:sz w:val="22"/>
                <w:szCs w:val="22"/>
              </w:rPr>
            </w:pPr>
          </w:p>
          <w:p w:rsidR="0087765D" w:rsidRPr="0087765D" w:rsidRDefault="0087765D" w:rsidP="0087765D">
            <w:pPr>
              <w:pStyle w:val="Default"/>
              <w:jc w:val="both"/>
              <w:rPr>
                <w:rFonts w:ascii="Calibri" w:hAnsi="Calibri" w:cs="Calibri"/>
                <w:sz w:val="22"/>
                <w:szCs w:val="22"/>
              </w:rPr>
            </w:pPr>
            <w:r w:rsidRPr="0087765D">
              <w:rPr>
                <w:rFonts w:ascii="Calibri" w:hAnsi="Calibri" w:cs="Calibri"/>
                <w:sz w:val="22"/>
                <w:szCs w:val="22"/>
              </w:rPr>
              <w:lastRenderedPageBreak/>
              <w:t>In terms of the CCG approach to service based planning and implementation, work has been undertaken to understand the priorities for each service lead and to build this in to the strategic plan, the submission to the Humber Coast and Vale partnership plan and to underpin the operational plans being developed for 20/21</w:t>
            </w:r>
            <w:r w:rsidR="000D7164">
              <w:rPr>
                <w:rFonts w:ascii="Calibri" w:hAnsi="Calibri" w:cs="Calibri"/>
                <w:sz w:val="22"/>
                <w:szCs w:val="22"/>
              </w:rPr>
              <w:t>.  A copy of the STP long term plan briefing paper is attached to this report for information</w:t>
            </w:r>
          </w:p>
          <w:p w:rsidR="0087765D" w:rsidRPr="0087765D" w:rsidRDefault="0087765D" w:rsidP="0087765D">
            <w:pPr>
              <w:pStyle w:val="Default"/>
              <w:jc w:val="both"/>
              <w:rPr>
                <w:rFonts w:ascii="Calibri" w:hAnsi="Calibri" w:cs="Calibri"/>
                <w:sz w:val="22"/>
                <w:szCs w:val="22"/>
              </w:rPr>
            </w:pPr>
            <w:r w:rsidRPr="0087765D">
              <w:rPr>
                <w:rFonts w:ascii="Calibri" w:hAnsi="Calibri" w:cs="Calibri"/>
                <w:sz w:val="22"/>
                <w:szCs w:val="22"/>
              </w:rPr>
              <w:t>Operational planning is underway and in the phase of gathering input from stakeholders, for example the CCG Council of Members in order to determine and refine the direction of travel for the coming financial year</w:t>
            </w:r>
            <w:r>
              <w:rPr>
                <w:rFonts w:ascii="Calibri" w:hAnsi="Calibri" w:cs="Calibri"/>
                <w:sz w:val="22"/>
                <w:szCs w:val="22"/>
              </w:rPr>
              <w:t xml:space="preserve"> which fill form the basis of the CCGs commissioning intentions.</w:t>
            </w:r>
          </w:p>
          <w:p w:rsidR="0087765D" w:rsidRPr="0087765D" w:rsidRDefault="0087765D" w:rsidP="0087765D">
            <w:pPr>
              <w:pStyle w:val="Default"/>
              <w:jc w:val="both"/>
              <w:rPr>
                <w:rFonts w:ascii="Calibri" w:hAnsi="Calibri" w:cs="Calibri"/>
                <w:sz w:val="22"/>
                <w:szCs w:val="22"/>
              </w:rPr>
            </w:pPr>
            <w:r w:rsidRPr="0087765D">
              <w:rPr>
                <w:rFonts w:ascii="Calibri" w:hAnsi="Calibri" w:cs="Calibri"/>
                <w:sz w:val="22"/>
                <w:szCs w:val="22"/>
              </w:rPr>
              <w:t>This information will support the centrally mandated planning process when this is published (usually late December each year) and subsequently the tasks and actions which will be outlined in the CCG’s corporate business plan.</w:t>
            </w:r>
          </w:p>
          <w:p w:rsidR="002054A0" w:rsidRPr="000D1B0D" w:rsidRDefault="002054A0" w:rsidP="000D1B0D">
            <w:pPr>
              <w:pStyle w:val="Default"/>
              <w:jc w:val="both"/>
              <w:rPr>
                <w:rFonts w:ascii="Calibri" w:hAnsi="Calibri" w:cs="Calibri"/>
                <w:sz w:val="20"/>
                <w:szCs w:val="20"/>
              </w:rPr>
            </w:pP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gridSpan w:val="2"/>
            <w:shd w:val="clear" w:color="auto" w:fill="auto"/>
          </w:tcPr>
          <w:p w:rsidR="009D4EDC" w:rsidRPr="000D7164" w:rsidRDefault="009D4EDC" w:rsidP="000D1B0D">
            <w:pPr>
              <w:pStyle w:val="Default"/>
              <w:jc w:val="both"/>
              <w:rPr>
                <w:rFonts w:ascii="Calibri" w:hAnsi="Calibri" w:cs="Calibri"/>
                <w:sz w:val="22"/>
                <w:szCs w:val="22"/>
              </w:rPr>
            </w:pPr>
          </w:p>
          <w:p w:rsidR="000D7164" w:rsidRPr="000D7164" w:rsidRDefault="000D7164" w:rsidP="000D1B0D">
            <w:pPr>
              <w:pStyle w:val="Default"/>
              <w:jc w:val="both"/>
              <w:rPr>
                <w:rFonts w:ascii="Calibri" w:hAnsi="Calibri" w:cs="Calibri"/>
                <w:sz w:val="22"/>
                <w:szCs w:val="22"/>
              </w:rPr>
            </w:pPr>
            <w:r w:rsidRPr="000D7164">
              <w:rPr>
                <w:rFonts w:ascii="Calibri" w:hAnsi="Calibri" w:cs="Calibri"/>
                <w:sz w:val="22"/>
                <w:szCs w:val="22"/>
              </w:rPr>
              <w:t>To note the process and arrangements for putting in place CCG operational plans for 20/21.</w:t>
            </w:r>
            <w:r>
              <w:rPr>
                <w:rFonts w:ascii="Calibri" w:hAnsi="Calibri" w:cs="Calibri"/>
                <w:sz w:val="22"/>
                <w:szCs w:val="22"/>
              </w:rPr>
              <w:t xml:space="preserve"> </w:t>
            </w:r>
          </w:p>
          <w:p w:rsidR="009D4EDC" w:rsidRPr="000D7164" w:rsidRDefault="009D4EDC" w:rsidP="000D1B0D">
            <w:pPr>
              <w:pStyle w:val="Default"/>
              <w:jc w:val="both"/>
              <w:rPr>
                <w:rFonts w:ascii="Calibri" w:hAnsi="Calibri" w:cs="Calibri"/>
                <w:sz w:val="22"/>
                <w:szCs w:val="22"/>
              </w:rPr>
            </w:pPr>
          </w:p>
        </w:tc>
      </w:tr>
      <w:tr w:rsidR="009D4EDC" w:rsidRPr="000D1B0D" w:rsidTr="00144ED4">
        <w:tc>
          <w:tcPr>
            <w:tcW w:w="1183" w:type="pct"/>
            <w:shd w:val="clear" w:color="auto" w:fill="auto"/>
          </w:tcPr>
          <w:p w:rsidR="009D4EDC" w:rsidRPr="000D1B0D" w:rsidRDefault="00711DA9" w:rsidP="009D4EDC">
            <w:pPr>
              <w:pStyle w:val="Default"/>
              <w:rPr>
                <w:rFonts w:ascii="Calibri" w:hAnsi="Calibri" w:cs="Calibri"/>
                <w:b/>
                <w:sz w:val="20"/>
                <w:szCs w:val="20"/>
              </w:rPr>
            </w:pPr>
            <w:r>
              <w:rPr>
                <w:rFonts w:ascii="Calibri" w:hAnsi="Calibri" w:cs="Calibri"/>
                <w:b/>
                <w:sz w:val="20"/>
                <w:szCs w:val="20"/>
              </w:rPr>
              <w:t>C</w:t>
            </w:r>
            <w:r w:rsidR="009D4EDC" w:rsidRPr="000D1B0D">
              <w:rPr>
                <w:rFonts w:ascii="Calibri" w:hAnsi="Calibri" w:cs="Calibri"/>
                <w:b/>
                <w:sz w:val="20"/>
                <w:szCs w:val="20"/>
              </w:rPr>
              <w:t>ommittee Process and Assurance:</w:t>
            </w:r>
          </w:p>
          <w:p w:rsidR="009D4EDC" w:rsidRPr="00046B77" w:rsidRDefault="009D4EDC" w:rsidP="00046B77">
            <w:pPr>
              <w:pStyle w:val="Default"/>
              <w:rPr>
                <w:rFonts w:ascii="Calibri" w:hAnsi="Calibri" w:cs="Calibri"/>
                <w:i/>
                <w:sz w:val="20"/>
                <w:szCs w:val="20"/>
              </w:rPr>
            </w:pPr>
          </w:p>
        </w:tc>
        <w:tc>
          <w:tcPr>
            <w:tcW w:w="3817" w:type="pct"/>
            <w:gridSpan w:val="2"/>
            <w:shd w:val="clear" w:color="auto" w:fill="auto"/>
          </w:tcPr>
          <w:p w:rsidR="00246EFA" w:rsidRPr="00FD4ACF" w:rsidRDefault="003C3603" w:rsidP="000D1B0D">
            <w:pPr>
              <w:pStyle w:val="Default"/>
              <w:jc w:val="both"/>
              <w:rPr>
                <w:rFonts w:ascii="Calibri" w:hAnsi="Calibri" w:cs="Calibri"/>
                <w:sz w:val="22"/>
                <w:szCs w:val="22"/>
              </w:rPr>
            </w:pPr>
            <w:r w:rsidRPr="00FD4ACF">
              <w:rPr>
                <w:rFonts w:ascii="Calibri" w:hAnsi="Calibri" w:cs="Calibri"/>
                <w:sz w:val="22"/>
                <w:szCs w:val="22"/>
              </w:rPr>
              <w:t>Operational</w:t>
            </w:r>
            <w:r w:rsidR="00BB23A5" w:rsidRPr="00FD4ACF">
              <w:rPr>
                <w:rFonts w:ascii="Calibri" w:hAnsi="Calibri" w:cs="Calibri"/>
                <w:sz w:val="22"/>
                <w:szCs w:val="22"/>
              </w:rPr>
              <w:t xml:space="preserve"> and financial</w:t>
            </w:r>
            <w:r w:rsidRPr="00FD4ACF">
              <w:rPr>
                <w:rFonts w:ascii="Calibri" w:hAnsi="Calibri" w:cs="Calibri"/>
                <w:sz w:val="22"/>
                <w:szCs w:val="22"/>
              </w:rPr>
              <w:t xml:space="preserve"> plans and the contracting approach are approved through t</w:t>
            </w:r>
            <w:r w:rsidR="00FD4ACF" w:rsidRPr="00FD4ACF">
              <w:rPr>
                <w:rFonts w:ascii="Calibri" w:hAnsi="Calibri" w:cs="Calibri"/>
                <w:sz w:val="22"/>
                <w:szCs w:val="22"/>
              </w:rPr>
              <w:t>he CCG’s Senior Leadership team, the Care Contracting Committee and the Integrated Governance &amp; Assurance Committee. A</w:t>
            </w:r>
            <w:r w:rsidRPr="00FD4ACF">
              <w:rPr>
                <w:rFonts w:ascii="Calibri" w:hAnsi="Calibri" w:cs="Calibri"/>
                <w:sz w:val="22"/>
                <w:szCs w:val="22"/>
              </w:rPr>
              <w:t>ssur</w:t>
            </w:r>
            <w:r w:rsidR="00FD4ACF" w:rsidRPr="00FD4ACF">
              <w:rPr>
                <w:rFonts w:ascii="Calibri" w:hAnsi="Calibri" w:cs="Calibri"/>
                <w:sz w:val="22"/>
                <w:szCs w:val="22"/>
              </w:rPr>
              <w:t>ance re delivery of the plans</w:t>
            </w:r>
            <w:r w:rsidRPr="00FD4ACF">
              <w:rPr>
                <w:rFonts w:ascii="Calibri" w:hAnsi="Calibri" w:cs="Calibri"/>
                <w:sz w:val="22"/>
                <w:szCs w:val="22"/>
              </w:rPr>
              <w:t xml:space="preserve"> throughout the year </w:t>
            </w:r>
            <w:r w:rsidR="00FD4ACF" w:rsidRPr="00FD4ACF">
              <w:rPr>
                <w:rFonts w:ascii="Calibri" w:hAnsi="Calibri" w:cs="Calibri"/>
                <w:sz w:val="22"/>
                <w:szCs w:val="22"/>
              </w:rPr>
              <w:t>via</w:t>
            </w:r>
            <w:r w:rsidRPr="00FD4ACF">
              <w:rPr>
                <w:rFonts w:ascii="Calibri" w:hAnsi="Calibri" w:cs="Calibri"/>
                <w:sz w:val="22"/>
                <w:szCs w:val="22"/>
              </w:rPr>
              <w:t xml:space="preserve"> the Delivery Assurance Committee</w:t>
            </w:r>
          </w:p>
          <w:p w:rsidR="00144ED4" w:rsidRDefault="00144ED4" w:rsidP="000D1B0D">
            <w:pPr>
              <w:pStyle w:val="Default"/>
              <w:jc w:val="both"/>
              <w:rPr>
                <w:rFonts w:ascii="Calibri" w:hAnsi="Calibri" w:cs="Calibri"/>
                <w:sz w:val="20"/>
                <w:szCs w:val="20"/>
              </w:rPr>
            </w:pPr>
          </w:p>
          <w:p w:rsidR="0043152F" w:rsidRPr="00FD4ACF" w:rsidRDefault="0043152F" w:rsidP="00FD4ACF">
            <w:pPr>
              <w:jc w:val="both"/>
              <w:rPr>
                <w:rFonts w:ascii="Calibri" w:hAnsi="Calibri" w:cs="Calibri"/>
                <w:sz w:val="22"/>
                <w:szCs w:val="22"/>
              </w:rPr>
            </w:pPr>
            <w:r w:rsidRPr="00FD4ACF">
              <w:rPr>
                <w:rFonts w:ascii="Calibri" w:hAnsi="Calibri" w:cs="Calibri"/>
                <w:sz w:val="22"/>
                <w:szCs w:val="22"/>
              </w:rPr>
              <w:t xml:space="preserve">Executive sign off of the </w:t>
            </w:r>
            <w:r w:rsidR="00FD4ACF" w:rsidRPr="00FD4ACF">
              <w:rPr>
                <w:rFonts w:ascii="Calibri" w:hAnsi="Calibri" w:cs="Calibri"/>
                <w:sz w:val="22"/>
                <w:szCs w:val="22"/>
              </w:rPr>
              <w:t xml:space="preserve">HCV </w:t>
            </w:r>
            <w:r w:rsidRPr="00FD4ACF">
              <w:rPr>
                <w:rFonts w:ascii="Calibri" w:hAnsi="Calibri" w:cs="Calibri"/>
                <w:sz w:val="22"/>
                <w:szCs w:val="22"/>
              </w:rPr>
              <w:t>Partnership Long Term Plan narrative and overall finance position</w:t>
            </w:r>
            <w:r w:rsidR="00FD4ACF" w:rsidRPr="00FD4ACF">
              <w:rPr>
                <w:rFonts w:ascii="Calibri" w:hAnsi="Calibri" w:cs="Calibri"/>
                <w:sz w:val="22"/>
                <w:szCs w:val="22"/>
              </w:rPr>
              <w:t xml:space="preserve"> is taking place on the 13</w:t>
            </w:r>
            <w:r w:rsidR="00FD4ACF" w:rsidRPr="00FD4ACF">
              <w:rPr>
                <w:rFonts w:ascii="Calibri" w:hAnsi="Calibri" w:cs="Calibri"/>
                <w:sz w:val="22"/>
                <w:szCs w:val="22"/>
                <w:vertAlign w:val="superscript"/>
              </w:rPr>
              <w:t>th</w:t>
            </w:r>
            <w:r w:rsidR="00FD4ACF" w:rsidRPr="00FD4ACF">
              <w:rPr>
                <w:rFonts w:ascii="Calibri" w:hAnsi="Calibri" w:cs="Calibri"/>
                <w:sz w:val="22"/>
                <w:szCs w:val="22"/>
              </w:rPr>
              <w:t xml:space="preserve"> November, with</w:t>
            </w:r>
            <w:r w:rsidR="00FD4ACF">
              <w:rPr>
                <w:rFonts w:ascii="Calibri" w:hAnsi="Calibri" w:cs="Calibri"/>
                <w:sz w:val="22"/>
                <w:szCs w:val="22"/>
              </w:rPr>
              <w:t xml:space="preserve"> </w:t>
            </w:r>
            <w:r w:rsidR="00FD4ACF" w:rsidRPr="00FD4ACF">
              <w:rPr>
                <w:rFonts w:ascii="Calibri" w:hAnsi="Calibri" w:cs="Calibri"/>
                <w:sz w:val="22"/>
                <w:szCs w:val="22"/>
              </w:rPr>
              <w:t>f</w:t>
            </w:r>
            <w:r w:rsidRPr="00FD4ACF">
              <w:rPr>
                <w:rFonts w:ascii="Calibri" w:hAnsi="Calibri" w:cs="Calibri"/>
                <w:sz w:val="22"/>
                <w:szCs w:val="22"/>
              </w:rPr>
              <w:t xml:space="preserve">inal submission of the </w:t>
            </w:r>
            <w:r w:rsidR="00FD4ACF" w:rsidRPr="00FD4ACF">
              <w:rPr>
                <w:rFonts w:ascii="Calibri" w:hAnsi="Calibri" w:cs="Calibri"/>
                <w:sz w:val="22"/>
                <w:szCs w:val="22"/>
              </w:rPr>
              <w:t xml:space="preserve">HCV </w:t>
            </w:r>
            <w:r w:rsidRPr="00FD4ACF">
              <w:rPr>
                <w:rFonts w:ascii="Calibri" w:hAnsi="Calibri" w:cs="Calibri"/>
                <w:sz w:val="22"/>
                <w:szCs w:val="22"/>
              </w:rPr>
              <w:t xml:space="preserve">Partnership Long Term Plan </w:t>
            </w:r>
            <w:r w:rsidR="00FD4ACF" w:rsidRPr="00FD4ACF">
              <w:rPr>
                <w:rFonts w:ascii="Calibri" w:hAnsi="Calibri" w:cs="Calibri"/>
                <w:sz w:val="22"/>
                <w:szCs w:val="22"/>
              </w:rPr>
              <w:t>on 15th Nov</w:t>
            </w:r>
            <w:r w:rsidR="00FD4ACF">
              <w:rPr>
                <w:rFonts w:ascii="Calibri" w:hAnsi="Calibri" w:cs="Calibri"/>
                <w:sz w:val="22"/>
                <w:szCs w:val="22"/>
              </w:rPr>
              <w:t>ember.</w:t>
            </w:r>
          </w:p>
          <w:p w:rsidR="00144ED4" w:rsidRPr="000D1B0D" w:rsidRDefault="00144ED4" w:rsidP="000D1B0D">
            <w:pPr>
              <w:pStyle w:val="Default"/>
              <w:jc w:val="both"/>
              <w:rPr>
                <w:rFonts w:ascii="Calibri" w:hAnsi="Calibri" w:cs="Calibri"/>
                <w:sz w:val="20"/>
                <w:szCs w:val="20"/>
              </w:rPr>
            </w:pP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gridSpan w:val="2"/>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4458C3">
        <w:trPr>
          <w:trHeight w:val="928"/>
        </w:trPr>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817" w:type="pct"/>
            <w:gridSpan w:val="2"/>
            <w:shd w:val="clear" w:color="auto" w:fill="auto"/>
          </w:tcPr>
          <w:p w:rsidR="00246EFA" w:rsidRDefault="003C3603" w:rsidP="000D1B0D">
            <w:pPr>
              <w:pStyle w:val="Default"/>
              <w:jc w:val="both"/>
              <w:rPr>
                <w:rFonts w:ascii="Calibri" w:hAnsi="Calibri" w:cs="Calibri"/>
                <w:sz w:val="20"/>
                <w:szCs w:val="20"/>
              </w:rPr>
            </w:pPr>
            <w:r w:rsidRPr="0087765D">
              <w:rPr>
                <w:rFonts w:ascii="Calibri" w:hAnsi="Calibri" w:cs="Calibri"/>
                <w:sz w:val="22"/>
                <w:szCs w:val="22"/>
              </w:rPr>
              <w:t>Each element of the operational plans is risk assessed and feeds into the risk management process</w:t>
            </w:r>
            <w:r w:rsidR="0087765D">
              <w:rPr>
                <w:rFonts w:ascii="Calibri" w:hAnsi="Calibri" w:cs="Calibri"/>
                <w:sz w:val="22"/>
                <w:szCs w:val="22"/>
              </w:rPr>
              <w:t xml:space="preserve"> </w:t>
            </w:r>
          </w:p>
          <w:p w:rsidR="00144ED4" w:rsidRPr="000D1B0D" w:rsidRDefault="00144ED4"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D42959" w:rsidRPr="00E73B61" w:rsidRDefault="00D42959" w:rsidP="004458C3">
            <w:pPr>
              <w:pStyle w:val="Default"/>
              <w:rPr>
                <w:rFonts w:ascii="Calibri" w:hAnsi="Calibri" w:cs="Calibri"/>
                <w:i/>
                <w:sz w:val="20"/>
                <w:szCs w:val="20"/>
              </w:rPr>
            </w:pPr>
          </w:p>
        </w:tc>
        <w:tc>
          <w:tcPr>
            <w:tcW w:w="3817" w:type="pct"/>
            <w:gridSpan w:val="2"/>
            <w:shd w:val="clear" w:color="auto" w:fill="auto"/>
          </w:tcPr>
          <w:p w:rsidR="002054A0" w:rsidRPr="0087765D" w:rsidRDefault="003C3603" w:rsidP="000D1B0D">
            <w:pPr>
              <w:pStyle w:val="Default"/>
              <w:jc w:val="both"/>
              <w:rPr>
                <w:rFonts w:ascii="Calibri" w:hAnsi="Calibri" w:cs="Calibri"/>
                <w:sz w:val="22"/>
                <w:szCs w:val="22"/>
              </w:rPr>
            </w:pPr>
            <w:r w:rsidRPr="0087765D">
              <w:rPr>
                <w:rFonts w:ascii="Calibri" w:hAnsi="Calibri" w:cs="Calibri"/>
                <w:sz w:val="22"/>
                <w:szCs w:val="22"/>
              </w:rPr>
              <w:t>Not applicable</w:t>
            </w:r>
          </w:p>
        </w:tc>
      </w:tr>
      <w:tr w:rsidR="002C32CC" w:rsidRPr="000D1B0D" w:rsidTr="002C32CC">
        <w:trPr>
          <w:trHeight w:val="123"/>
        </w:trPr>
        <w:tc>
          <w:tcPr>
            <w:tcW w:w="1183" w:type="pct"/>
            <w:vMerge w:val="restart"/>
            <w:shd w:val="clear" w:color="auto" w:fill="auto"/>
          </w:tcPr>
          <w:p w:rsidR="002C32CC" w:rsidRPr="000D1B0D" w:rsidRDefault="002C32CC" w:rsidP="009D4EDC">
            <w:pPr>
              <w:pStyle w:val="Default"/>
              <w:rPr>
                <w:rFonts w:ascii="Calibri" w:hAnsi="Calibri" w:cs="Calibri"/>
                <w:b/>
                <w:sz w:val="20"/>
                <w:szCs w:val="20"/>
              </w:rPr>
            </w:pPr>
            <w:r>
              <w:rPr>
                <w:rFonts w:ascii="Calibri" w:hAnsi="Calibri" w:cs="Calibri"/>
                <w:b/>
                <w:sz w:val="20"/>
                <w:szCs w:val="20"/>
              </w:rPr>
              <w:t>Data Protection Impact Assessment implications</w:t>
            </w:r>
            <w:r w:rsidR="00DA7A50">
              <w:rPr>
                <w:rFonts w:ascii="Calibri" w:hAnsi="Calibri" w:cs="Calibri"/>
                <w:b/>
                <w:sz w:val="20"/>
                <w:szCs w:val="20"/>
              </w:rPr>
              <w:t xml:space="preserve"> (DPIA)</w:t>
            </w:r>
            <w:r>
              <w:rPr>
                <w:rFonts w:ascii="Calibri" w:hAnsi="Calibri" w:cs="Calibri"/>
                <w:b/>
                <w:sz w:val="20"/>
                <w:szCs w:val="20"/>
              </w:rPr>
              <w:t>:</w:t>
            </w:r>
          </w:p>
        </w:tc>
        <w:tc>
          <w:tcPr>
            <w:tcW w:w="2966" w:type="pct"/>
            <w:shd w:val="clear" w:color="auto" w:fill="auto"/>
          </w:tcPr>
          <w:p w:rsidR="002C32CC" w:rsidRPr="002C32CC" w:rsidRDefault="002C32CC" w:rsidP="00AB4FF6">
            <w:pPr>
              <w:pStyle w:val="Default"/>
              <w:rPr>
                <w:rFonts w:ascii="Calibri" w:hAnsi="Calibri" w:cs="Calibri"/>
                <w:sz w:val="20"/>
                <w:szCs w:val="20"/>
              </w:rPr>
            </w:pPr>
            <w:r>
              <w:rPr>
                <w:rFonts w:ascii="Calibri" w:hAnsi="Calibri" w:cs="Calibri"/>
                <w:sz w:val="20"/>
                <w:szCs w:val="20"/>
              </w:rPr>
              <w:t xml:space="preserve">Are you implementing a new system, data sharing arrangement, project, </w:t>
            </w:r>
            <w:proofErr w:type="gramStart"/>
            <w:r>
              <w:rPr>
                <w:rFonts w:ascii="Calibri" w:hAnsi="Calibri" w:cs="Calibri"/>
                <w:sz w:val="20"/>
                <w:szCs w:val="20"/>
              </w:rPr>
              <w:t>service</w:t>
            </w:r>
            <w:proofErr w:type="gramEnd"/>
            <w:r>
              <w:rPr>
                <w:rFonts w:ascii="Calibri" w:hAnsi="Calibri" w:cs="Calibri"/>
                <w:sz w:val="20"/>
                <w:szCs w:val="20"/>
              </w:rPr>
              <w:t xml:space="preserve"> redesign or changing the way you work?</w:t>
            </w:r>
          </w:p>
        </w:tc>
        <w:sdt>
          <w:sdtPr>
            <w:rPr>
              <w:rFonts w:ascii="Calibri" w:hAnsi="Calibri" w:cs="Calibri"/>
              <w:b/>
              <w:sz w:val="20"/>
              <w:szCs w:val="20"/>
            </w:rPr>
            <w:alias w:val="Auto check"/>
            <w:tag w:val="Auto check"/>
            <w:id w:val="-2029327276"/>
            <w:placeholder>
              <w:docPart w:val="0146071C1414426F925DEB63060F4E98"/>
            </w:placeholder>
            <w:dropDownList>
              <w:listItem w:value="Choose an item."/>
              <w:listItem w:displayText="Yes" w:value="Yes"/>
              <w:listItem w:displayText="No" w:value="No"/>
            </w:dropDownList>
          </w:sdtPr>
          <w:sdtEndPr/>
          <w:sdtContent>
            <w:tc>
              <w:tcPr>
                <w:tcW w:w="851" w:type="pct"/>
                <w:shd w:val="clear" w:color="auto" w:fill="auto"/>
              </w:tcPr>
              <w:p w:rsidR="002C32CC" w:rsidRPr="00AB4FF6" w:rsidRDefault="003C3603"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DA7A50" w:rsidRDefault="00DA7A50" w:rsidP="00AB4FF6">
            <w:pPr>
              <w:pStyle w:val="Default"/>
              <w:rPr>
                <w:rFonts w:ascii="Calibri" w:hAnsi="Calibri" w:cs="Calibri"/>
                <w:sz w:val="20"/>
                <w:szCs w:val="20"/>
              </w:rPr>
            </w:pPr>
            <w:r w:rsidRPr="00DA7A50">
              <w:rPr>
                <w:rFonts w:ascii="Calibri" w:hAnsi="Calibri" w:cs="Calibri"/>
                <w:sz w:val="20"/>
                <w:szCs w:val="20"/>
              </w:rPr>
              <w:t xml:space="preserve">If yes to </w:t>
            </w:r>
            <w:r w:rsidR="00E763D6">
              <w:rPr>
                <w:rFonts w:ascii="Calibri" w:hAnsi="Calibri" w:cs="Calibri"/>
                <w:sz w:val="20"/>
                <w:szCs w:val="20"/>
              </w:rPr>
              <w:t xml:space="preserve">the </w:t>
            </w:r>
            <w:r w:rsidRPr="00DA7A50">
              <w:rPr>
                <w:rFonts w:ascii="Calibri" w:hAnsi="Calibri" w:cs="Calibri"/>
                <w:sz w:val="20"/>
                <w:szCs w:val="20"/>
              </w:rPr>
              <w:t xml:space="preserve">above – have the </w:t>
            </w:r>
            <w:r>
              <w:rPr>
                <w:rFonts w:ascii="Calibri" w:hAnsi="Calibri" w:cs="Calibri"/>
                <w:sz w:val="20"/>
                <w:szCs w:val="20"/>
              </w:rPr>
              <w:t xml:space="preserve">DPIA </w:t>
            </w:r>
            <w:r w:rsidRPr="00DA7A50">
              <w:rPr>
                <w:rFonts w:ascii="Calibri" w:hAnsi="Calibri" w:cs="Calibri"/>
                <w:sz w:val="20"/>
                <w:szCs w:val="20"/>
              </w:rPr>
              <w:t>screening questions been completed?</w:t>
            </w:r>
          </w:p>
        </w:tc>
        <w:sdt>
          <w:sdtPr>
            <w:rPr>
              <w:rFonts w:ascii="Calibri" w:hAnsi="Calibri" w:cs="Calibri"/>
              <w:b/>
              <w:sz w:val="20"/>
              <w:szCs w:val="20"/>
            </w:rPr>
            <w:alias w:val="Auto check"/>
            <w:tag w:val="Auto check"/>
            <w:id w:val="1962377035"/>
            <w:placeholder>
              <w:docPart w:val="5E948EC5DC984D49BFFBB0750303DE04"/>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842CBF" w:rsidP="00AB4FF6">
                <w:pPr>
                  <w:pStyle w:val="Default"/>
                  <w:rPr>
                    <w:rFonts w:ascii="Calibri" w:hAnsi="Calibri" w:cs="Calibri"/>
                    <w:b/>
                    <w:sz w:val="20"/>
                    <w:szCs w:val="20"/>
                  </w:rPr>
                </w:pPr>
                <w:r w:rsidRPr="0087765D">
                  <w:rPr>
                    <w:rStyle w:val="PlaceholderText"/>
                    <w:color w:val="FFFFFF" w:themeColor="background1"/>
                  </w:rPr>
                  <w:t>Choose an item.</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DA7A50" w:rsidP="00AB4FF6">
            <w:pPr>
              <w:pStyle w:val="Default"/>
              <w:rPr>
                <w:rFonts w:ascii="Calibri" w:hAnsi="Calibri" w:cs="Calibri"/>
                <w:sz w:val="20"/>
                <w:szCs w:val="20"/>
              </w:rPr>
            </w:pPr>
            <w:r w:rsidRPr="00E763D6">
              <w:rPr>
                <w:rFonts w:ascii="Calibri" w:hAnsi="Calibri" w:cs="Calibri"/>
                <w:sz w:val="20"/>
                <w:szCs w:val="20"/>
              </w:rPr>
              <w:t xml:space="preserve">Does this project involve the processing </w:t>
            </w:r>
            <w:r w:rsidR="00E763D6">
              <w:rPr>
                <w:rFonts w:ascii="Calibri" w:hAnsi="Calibri" w:cs="Calibri"/>
                <w:sz w:val="20"/>
                <w:szCs w:val="20"/>
              </w:rPr>
              <w:t>of personally identifiable or other high risk data?</w:t>
            </w:r>
          </w:p>
        </w:tc>
        <w:sdt>
          <w:sdtPr>
            <w:rPr>
              <w:rFonts w:ascii="Calibri" w:hAnsi="Calibri" w:cs="Calibri"/>
              <w:b/>
              <w:sz w:val="20"/>
              <w:szCs w:val="20"/>
            </w:rPr>
            <w:alias w:val="Auto check"/>
            <w:tag w:val="Auto check"/>
            <w:id w:val="-1097321276"/>
            <w:placeholder>
              <w:docPart w:val="C4AB961EECCF4A3AA4054559838E24CC"/>
            </w:placeholder>
            <w:comboBox>
              <w:listItem w:value="Choose an item."/>
              <w:listItem w:displayText="Yes" w:value="Yes"/>
              <w:listItem w:displayText="No" w:value="No"/>
            </w:comboBox>
          </w:sdtPr>
          <w:sdtEndPr/>
          <w:sdtContent>
            <w:tc>
              <w:tcPr>
                <w:tcW w:w="851" w:type="pct"/>
                <w:shd w:val="clear" w:color="auto" w:fill="auto"/>
              </w:tcPr>
              <w:p w:rsidR="002C32CC" w:rsidRPr="00AB4FF6" w:rsidRDefault="003C3603"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E763D6" w:rsidP="00AB4FF6">
            <w:pPr>
              <w:pStyle w:val="Default"/>
              <w:rPr>
                <w:rFonts w:ascii="Calibri" w:hAnsi="Calibri" w:cs="Calibri"/>
                <w:sz w:val="20"/>
                <w:szCs w:val="20"/>
              </w:rPr>
            </w:pPr>
            <w:r w:rsidRPr="00E763D6">
              <w:rPr>
                <w:rFonts w:ascii="Calibri" w:hAnsi="Calibri" w:cs="Calibri"/>
                <w:sz w:val="20"/>
                <w:szCs w:val="20"/>
              </w:rPr>
              <w:t>If yes to the above</w:t>
            </w:r>
            <w:r w:rsidR="00E912FC">
              <w:rPr>
                <w:rFonts w:ascii="Calibri" w:hAnsi="Calibri" w:cs="Calibri"/>
                <w:sz w:val="20"/>
                <w:szCs w:val="20"/>
              </w:rPr>
              <w:t xml:space="preserve"> has a DPIA been completed and approved?</w:t>
            </w:r>
          </w:p>
        </w:tc>
        <w:sdt>
          <w:sdtPr>
            <w:rPr>
              <w:rFonts w:ascii="Calibri" w:hAnsi="Calibri" w:cs="Calibri"/>
              <w:b/>
              <w:sz w:val="20"/>
              <w:szCs w:val="20"/>
            </w:rPr>
            <w:alias w:val="Auto check"/>
            <w:tag w:val="Auto check"/>
            <w:id w:val="-622075150"/>
            <w:placeholder>
              <w:docPart w:val="DefaultPlaceholder_-1854013439"/>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3B7B5D" w:rsidP="00AB4FF6">
                <w:pPr>
                  <w:pStyle w:val="Default"/>
                  <w:rPr>
                    <w:rFonts w:ascii="Calibri" w:hAnsi="Calibri" w:cs="Calibri"/>
                    <w:b/>
                    <w:sz w:val="20"/>
                    <w:szCs w:val="20"/>
                  </w:rPr>
                </w:pPr>
                <w:r w:rsidRPr="0087765D">
                  <w:rPr>
                    <w:rStyle w:val="PlaceholderText"/>
                    <w:color w:val="FFFFFF" w:themeColor="background1"/>
                  </w:rPr>
                  <w:t>Choose an item.</w:t>
                </w:r>
              </w:p>
            </w:tc>
          </w:sdtContent>
        </w:sdt>
      </w:tr>
      <w:tr w:rsidR="007E1C2F" w:rsidRPr="000D1B0D" w:rsidTr="00144ED4">
        <w:tc>
          <w:tcPr>
            <w:tcW w:w="1183" w:type="pct"/>
            <w:shd w:val="clear" w:color="auto" w:fill="auto"/>
          </w:tcPr>
          <w:p w:rsidR="00473CC5" w:rsidRPr="00E73B61" w:rsidRDefault="00473CC5" w:rsidP="009D4EDC">
            <w:pPr>
              <w:pStyle w:val="Default"/>
              <w:rPr>
                <w:rFonts w:ascii="Calibri" w:hAnsi="Calibri" w:cs="Calibri"/>
                <w:sz w:val="20"/>
                <w:szCs w:val="20"/>
              </w:rPr>
            </w:pPr>
          </w:p>
        </w:tc>
        <w:tc>
          <w:tcPr>
            <w:tcW w:w="3817" w:type="pct"/>
            <w:gridSpan w:val="2"/>
            <w:shd w:val="clear" w:color="auto" w:fill="auto"/>
          </w:tcPr>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3C3603">
                  <w:rPr>
                    <w:rFonts w:ascii="MS Gothic" w:eastAsia="MS Gothic" w:hAnsi="MS Gothic" w:cs="Calibri" w:hint="eastAsia"/>
                    <w:sz w:val="20"/>
                    <w:szCs w:val="20"/>
                  </w:rPr>
                  <w:t>☒</w:t>
                </w:r>
              </w:sdtContent>
            </w:sdt>
          </w:p>
          <w:p w:rsidR="00AB645B" w:rsidRPr="00AB645B" w:rsidRDefault="00AB645B" w:rsidP="00E73B61">
            <w:pPr>
              <w:pStyle w:val="Default"/>
              <w:jc w:val="both"/>
              <w:rPr>
                <w:rFonts w:ascii="Calibri" w:hAnsi="Calibri" w:cs="Calibri"/>
                <w:sz w:val="20"/>
                <w:szCs w:val="20"/>
              </w:rPr>
            </w:pP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Pr="00F300A1" w:rsidRDefault="00473CC5" w:rsidP="009D4EDC">
            <w:pPr>
              <w:pStyle w:val="Default"/>
              <w:rPr>
                <w:rFonts w:ascii="Calibri" w:hAnsi="Calibri" w:cs="Calibri"/>
                <w:i/>
                <w:sz w:val="20"/>
                <w:szCs w:val="20"/>
              </w:rPr>
            </w:pPr>
          </w:p>
        </w:tc>
        <w:tc>
          <w:tcPr>
            <w:tcW w:w="3817" w:type="pct"/>
            <w:gridSpan w:val="2"/>
            <w:shd w:val="clear" w:color="auto" w:fill="auto"/>
          </w:tcPr>
          <w:p w:rsidR="00415521" w:rsidRPr="00F56A37" w:rsidRDefault="00415521" w:rsidP="00F56A37">
            <w:pPr>
              <w:pStyle w:val="Default"/>
              <w:jc w:val="both"/>
              <w:rPr>
                <w:rFonts w:ascii="Calibri" w:hAnsi="Calibri" w:cs="Calibri"/>
                <w:sz w:val="22"/>
                <w:szCs w:val="22"/>
              </w:rPr>
            </w:pPr>
            <w:r w:rsidRPr="00F56A37">
              <w:rPr>
                <w:rFonts w:ascii="Calibri" w:hAnsi="Calibri" w:cs="Calibri"/>
                <w:sz w:val="22"/>
                <w:szCs w:val="22"/>
              </w:rPr>
              <w:t xml:space="preserve">The strategic approach </w:t>
            </w:r>
            <w:r w:rsidR="00F56A37">
              <w:rPr>
                <w:rFonts w:ascii="Calibri" w:hAnsi="Calibri" w:cs="Calibri"/>
                <w:sz w:val="22"/>
                <w:szCs w:val="22"/>
              </w:rPr>
              <w:t xml:space="preserve">taken to financial planning is to ensure </w:t>
            </w:r>
            <w:r w:rsidRPr="00F56A37">
              <w:rPr>
                <w:rFonts w:ascii="Calibri" w:hAnsi="Calibri" w:cs="Calibri"/>
                <w:sz w:val="22"/>
                <w:szCs w:val="22"/>
              </w:rPr>
              <w:t xml:space="preserve">full compliance with the Business rules </w:t>
            </w:r>
            <w:r w:rsidR="00F56A37">
              <w:rPr>
                <w:rFonts w:ascii="Calibri" w:hAnsi="Calibri" w:cs="Calibri"/>
                <w:sz w:val="22"/>
                <w:szCs w:val="22"/>
              </w:rPr>
              <w:t>:-</w:t>
            </w:r>
          </w:p>
          <w:p w:rsidR="0087765D" w:rsidRPr="00F56A37" w:rsidRDefault="0087765D" w:rsidP="00F56A37">
            <w:pPr>
              <w:pStyle w:val="Default"/>
              <w:ind w:left="323" w:hanging="284"/>
              <w:jc w:val="both"/>
              <w:rPr>
                <w:rFonts w:ascii="Calibri" w:hAnsi="Calibri" w:cs="Calibri"/>
                <w:sz w:val="22"/>
                <w:szCs w:val="22"/>
              </w:rPr>
            </w:pPr>
          </w:p>
          <w:p w:rsidR="0087765D" w:rsidRPr="00F56A37" w:rsidRDefault="00415521" w:rsidP="00F56A37">
            <w:pPr>
              <w:pStyle w:val="Default"/>
              <w:numPr>
                <w:ilvl w:val="0"/>
                <w:numId w:val="9"/>
              </w:numPr>
              <w:ind w:left="607" w:hanging="284"/>
              <w:jc w:val="both"/>
              <w:rPr>
                <w:rFonts w:ascii="Calibri" w:hAnsi="Calibri" w:cs="Calibri"/>
                <w:sz w:val="22"/>
                <w:szCs w:val="22"/>
              </w:rPr>
            </w:pPr>
            <w:r w:rsidRPr="00F56A37">
              <w:rPr>
                <w:rFonts w:ascii="Calibri" w:hAnsi="Calibri" w:cs="Calibri"/>
                <w:sz w:val="22"/>
                <w:szCs w:val="22"/>
              </w:rPr>
              <w:t xml:space="preserve">Achievement of the control total each year </w:t>
            </w:r>
            <w:r w:rsidR="00F56A37">
              <w:rPr>
                <w:rFonts w:ascii="Calibri" w:hAnsi="Calibri" w:cs="Calibri"/>
                <w:sz w:val="22"/>
                <w:szCs w:val="22"/>
              </w:rPr>
              <w:t xml:space="preserve">i.e. </w:t>
            </w:r>
            <w:r w:rsidRPr="00F56A37">
              <w:rPr>
                <w:rFonts w:ascii="Calibri" w:hAnsi="Calibri" w:cs="Calibri"/>
                <w:sz w:val="22"/>
                <w:szCs w:val="22"/>
              </w:rPr>
              <w:t xml:space="preserve">breakeven against the </w:t>
            </w:r>
            <w:r w:rsidR="00F56A37">
              <w:rPr>
                <w:rFonts w:ascii="Calibri" w:hAnsi="Calibri" w:cs="Calibri"/>
                <w:sz w:val="22"/>
                <w:szCs w:val="22"/>
              </w:rPr>
              <w:t>CCG’s in-</w:t>
            </w:r>
            <w:r w:rsidRPr="00F56A37">
              <w:rPr>
                <w:rFonts w:ascii="Calibri" w:hAnsi="Calibri" w:cs="Calibri"/>
                <w:sz w:val="22"/>
                <w:szCs w:val="22"/>
              </w:rPr>
              <w:t>year allocatio</w:t>
            </w:r>
            <w:r w:rsidR="00F56A37">
              <w:rPr>
                <w:rFonts w:ascii="Calibri" w:hAnsi="Calibri" w:cs="Calibri"/>
                <w:sz w:val="22"/>
                <w:szCs w:val="22"/>
              </w:rPr>
              <w:t>n.</w:t>
            </w:r>
          </w:p>
          <w:p w:rsidR="00415521" w:rsidRPr="00F56A37" w:rsidRDefault="00415521" w:rsidP="00F56A37">
            <w:pPr>
              <w:pStyle w:val="Default"/>
              <w:numPr>
                <w:ilvl w:val="0"/>
                <w:numId w:val="9"/>
              </w:numPr>
              <w:ind w:left="607" w:hanging="284"/>
              <w:jc w:val="both"/>
              <w:rPr>
                <w:rFonts w:ascii="Calibri" w:hAnsi="Calibri" w:cs="Calibri"/>
                <w:sz w:val="22"/>
                <w:szCs w:val="22"/>
              </w:rPr>
            </w:pPr>
            <w:r w:rsidRPr="00F56A37">
              <w:rPr>
                <w:rFonts w:ascii="Calibri" w:hAnsi="Calibri" w:cs="Calibri"/>
                <w:sz w:val="22"/>
                <w:szCs w:val="22"/>
              </w:rPr>
              <w:t>Overall 1% surplus (in-year + cumulative surplus)</w:t>
            </w:r>
          </w:p>
          <w:p w:rsidR="00415521" w:rsidRPr="00F56A37" w:rsidRDefault="00415521" w:rsidP="00F56A37">
            <w:pPr>
              <w:pStyle w:val="Default"/>
              <w:numPr>
                <w:ilvl w:val="0"/>
                <w:numId w:val="9"/>
              </w:numPr>
              <w:ind w:left="607" w:hanging="284"/>
              <w:jc w:val="both"/>
              <w:rPr>
                <w:rFonts w:ascii="Calibri" w:hAnsi="Calibri" w:cs="Calibri"/>
                <w:sz w:val="22"/>
                <w:szCs w:val="22"/>
              </w:rPr>
            </w:pPr>
            <w:r w:rsidRPr="00F56A37">
              <w:rPr>
                <w:rFonts w:ascii="Calibri" w:hAnsi="Calibri" w:cs="Calibri"/>
                <w:sz w:val="22"/>
                <w:szCs w:val="22"/>
              </w:rPr>
              <w:t>0.5% contingency funds</w:t>
            </w:r>
          </w:p>
          <w:p w:rsidR="00415521" w:rsidRPr="00F56A37" w:rsidRDefault="00415521" w:rsidP="00F56A37">
            <w:pPr>
              <w:pStyle w:val="Default"/>
              <w:numPr>
                <w:ilvl w:val="0"/>
                <w:numId w:val="9"/>
              </w:numPr>
              <w:ind w:left="607" w:hanging="284"/>
              <w:jc w:val="both"/>
              <w:rPr>
                <w:rFonts w:ascii="Calibri" w:hAnsi="Calibri" w:cs="Calibri"/>
                <w:sz w:val="22"/>
                <w:szCs w:val="22"/>
              </w:rPr>
            </w:pPr>
            <w:r w:rsidRPr="00F56A37">
              <w:rPr>
                <w:rFonts w:ascii="Calibri" w:hAnsi="Calibri" w:cs="Calibri"/>
                <w:sz w:val="22"/>
                <w:szCs w:val="22"/>
              </w:rPr>
              <w:t>Achievement of the Mental Health Investment Standard</w:t>
            </w:r>
          </w:p>
          <w:p w:rsidR="00415521" w:rsidRPr="00F56A37" w:rsidRDefault="00415521" w:rsidP="00F56A37">
            <w:pPr>
              <w:pStyle w:val="Default"/>
              <w:numPr>
                <w:ilvl w:val="0"/>
                <w:numId w:val="9"/>
              </w:numPr>
              <w:ind w:left="607" w:hanging="284"/>
              <w:jc w:val="both"/>
              <w:rPr>
                <w:rFonts w:ascii="Calibri" w:hAnsi="Calibri" w:cs="Calibri"/>
                <w:sz w:val="22"/>
                <w:szCs w:val="22"/>
              </w:rPr>
            </w:pPr>
            <w:r w:rsidRPr="00F56A37">
              <w:rPr>
                <w:rFonts w:ascii="Calibri" w:hAnsi="Calibri" w:cs="Calibri"/>
                <w:sz w:val="22"/>
                <w:szCs w:val="22"/>
              </w:rPr>
              <w:t>Investment in Community, CHC &amp; Primary Care (</w:t>
            </w:r>
            <w:r w:rsidR="00F56A37" w:rsidRPr="00F56A37">
              <w:rPr>
                <w:rFonts w:ascii="Calibri" w:hAnsi="Calibri" w:cs="Calibri"/>
                <w:sz w:val="22"/>
                <w:szCs w:val="22"/>
              </w:rPr>
              <w:t xml:space="preserve">exc. Delegated) equivalent to </w:t>
            </w:r>
            <w:r w:rsidR="00F56A37">
              <w:rPr>
                <w:rFonts w:ascii="Calibri" w:hAnsi="Calibri" w:cs="Calibri"/>
                <w:sz w:val="22"/>
                <w:szCs w:val="22"/>
              </w:rPr>
              <w:t>at least</w:t>
            </w:r>
            <w:r w:rsidR="00F56A37" w:rsidRPr="00F56A37">
              <w:rPr>
                <w:rFonts w:ascii="Calibri" w:hAnsi="Calibri" w:cs="Calibri"/>
                <w:sz w:val="22"/>
                <w:szCs w:val="22"/>
              </w:rPr>
              <w:t xml:space="preserve"> the CCGs allocation uplift</w:t>
            </w:r>
          </w:p>
          <w:p w:rsidR="00415521" w:rsidRPr="00F56A37" w:rsidRDefault="00415521" w:rsidP="00F56A37">
            <w:pPr>
              <w:pStyle w:val="Default"/>
              <w:numPr>
                <w:ilvl w:val="0"/>
                <w:numId w:val="9"/>
              </w:numPr>
              <w:ind w:left="607" w:hanging="284"/>
              <w:jc w:val="both"/>
              <w:rPr>
                <w:rFonts w:ascii="Calibri" w:hAnsi="Calibri" w:cs="Calibri"/>
                <w:sz w:val="22"/>
                <w:szCs w:val="22"/>
              </w:rPr>
            </w:pPr>
            <w:r w:rsidRPr="00F56A37">
              <w:rPr>
                <w:rFonts w:ascii="Calibri" w:hAnsi="Calibri" w:cs="Calibri"/>
                <w:sz w:val="22"/>
                <w:szCs w:val="22"/>
              </w:rPr>
              <w:t>Achievement of the 20% reduction in running costs</w:t>
            </w:r>
          </w:p>
          <w:p w:rsidR="00415521" w:rsidRPr="00F56A37" w:rsidRDefault="00415521" w:rsidP="00F56A37">
            <w:pPr>
              <w:pStyle w:val="Default"/>
              <w:ind w:left="1468"/>
              <w:jc w:val="both"/>
              <w:rPr>
                <w:rFonts w:ascii="Calibri" w:hAnsi="Calibri" w:cs="Calibri"/>
                <w:sz w:val="22"/>
                <w:szCs w:val="22"/>
              </w:rPr>
            </w:pPr>
          </w:p>
          <w:p w:rsidR="0087765D" w:rsidRDefault="00F56A37" w:rsidP="000D1B0D">
            <w:pPr>
              <w:pStyle w:val="Default"/>
              <w:jc w:val="both"/>
              <w:rPr>
                <w:rFonts w:ascii="Calibri" w:hAnsi="Calibri" w:cs="Calibri"/>
                <w:sz w:val="22"/>
                <w:szCs w:val="22"/>
              </w:rPr>
            </w:pPr>
            <w:r w:rsidRPr="00F56A37">
              <w:rPr>
                <w:rFonts w:ascii="Calibri" w:hAnsi="Calibri" w:cs="Calibri"/>
                <w:sz w:val="22"/>
                <w:szCs w:val="22"/>
              </w:rPr>
              <w:lastRenderedPageBreak/>
              <w:t xml:space="preserve">The CCG is also looking to request drawdown of some of its cumulative prior year surplus of £8.1m to support transforming services so as to reduce the overall cost </w:t>
            </w:r>
            <w:r w:rsidR="000D7164">
              <w:rPr>
                <w:rFonts w:ascii="Calibri" w:hAnsi="Calibri" w:cs="Calibri"/>
                <w:sz w:val="22"/>
                <w:szCs w:val="22"/>
              </w:rPr>
              <w:t>in</w:t>
            </w:r>
            <w:r w:rsidRPr="00F56A37">
              <w:rPr>
                <w:rFonts w:ascii="Calibri" w:hAnsi="Calibri" w:cs="Calibri"/>
                <w:sz w:val="22"/>
                <w:szCs w:val="22"/>
              </w:rPr>
              <w:t xml:space="preserve"> the system. Any request</w:t>
            </w:r>
            <w:r w:rsidR="000D7164">
              <w:rPr>
                <w:rFonts w:ascii="Calibri" w:hAnsi="Calibri" w:cs="Calibri"/>
                <w:sz w:val="22"/>
                <w:szCs w:val="22"/>
              </w:rPr>
              <w:t xml:space="preserve"> to NHSE/I</w:t>
            </w:r>
            <w:r w:rsidRPr="00F56A37">
              <w:rPr>
                <w:rFonts w:ascii="Calibri" w:hAnsi="Calibri" w:cs="Calibri"/>
                <w:sz w:val="22"/>
                <w:szCs w:val="22"/>
              </w:rPr>
              <w:t xml:space="preserve"> will need to be able to demonstrate that </w:t>
            </w:r>
            <w:r w:rsidR="00C63CC9">
              <w:rPr>
                <w:rFonts w:ascii="Calibri" w:hAnsi="Calibri" w:cs="Calibri"/>
                <w:sz w:val="22"/>
                <w:szCs w:val="22"/>
              </w:rPr>
              <w:t xml:space="preserve">these transformational </w:t>
            </w:r>
            <w:r w:rsidRPr="00F56A37">
              <w:rPr>
                <w:rFonts w:ascii="Calibri" w:hAnsi="Calibri" w:cs="Calibri"/>
                <w:sz w:val="22"/>
                <w:szCs w:val="22"/>
              </w:rPr>
              <w:t>costs are non-recurrent and incurring the</w:t>
            </w:r>
            <w:r w:rsidR="00C63CC9">
              <w:rPr>
                <w:rFonts w:ascii="Calibri" w:hAnsi="Calibri" w:cs="Calibri"/>
                <w:sz w:val="22"/>
                <w:szCs w:val="22"/>
              </w:rPr>
              <w:t>m</w:t>
            </w:r>
            <w:r w:rsidRPr="00F56A37">
              <w:rPr>
                <w:rFonts w:ascii="Calibri" w:hAnsi="Calibri" w:cs="Calibri"/>
                <w:sz w:val="22"/>
                <w:szCs w:val="22"/>
              </w:rPr>
              <w:t xml:space="preserve"> </w:t>
            </w:r>
            <w:r w:rsidR="00C63CC9">
              <w:rPr>
                <w:rFonts w:ascii="Calibri" w:hAnsi="Calibri" w:cs="Calibri"/>
                <w:sz w:val="22"/>
                <w:szCs w:val="22"/>
              </w:rPr>
              <w:t xml:space="preserve">to facilitate the required change </w:t>
            </w:r>
            <w:r w:rsidRPr="00F56A37">
              <w:rPr>
                <w:rFonts w:ascii="Calibri" w:hAnsi="Calibri" w:cs="Calibri"/>
                <w:sz w:val="22"/>
                <w:szCs w:val="22"/>
              </w:rPr>
              <w:t>is not optional.</w:t>
            </w:r>
          </w:p>
          <w:p w:rsidR="0087765D" w:rsidRPr="000D1B0D" w:rsidRDefault="0087765D" w:rsidP="00C63CC9">
            <w:pPr>
              <w:pStyle w:val="Default"/>
              <w:jc w:val="both"/>
              <w:rPr>
                <w:rFonts w:ascii="Calibri" w:hAnsi="Calibri" w:cs="Calibri"/>
                <w:sz w:val="20"/>
                <w:szCs w:val="20"/>
              </w:rPr>
            </w:pP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lastRenderedPageBreak/>
              <w:t>Quality Implications:</w:t>
            </w:r>
          </w:p>
          <w:p w:rsidR="00473CC5" w:rsidRPr="00D42959" w:rsidRDefault="00473CC5" w:rsidP="009D4EDC">
            <w:pPr>
              <w:pStyle w:val="Default"/>
              <w:rPr>
                <w:rFonts w:ascii="Calibri" w:hAnsi="Calibri" w:cs="Calibri"/>
                <w:i/>
                <w:sz w:val="20"/>
                <w:szCs w:val="20"/>
              </w:rPr>
            </w:pPr>
          </w:p>
        </w:tc>
        <w:tc>
          <w:tcPr>
            <w:tcW w:w="3817" w:type="pct"/>
            <w:gridSpan w:val="2"/>
            <w:shd w:val="clear" w:color="auto" w:fill="auto"/>
          </w:tcPr>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                                                                                                 </w:t>
            </w:r>
            <w:r w:rsidR="003C3603">
              <w:rPr>
                <w:rFonts w:ascii="Calibri" w:hAnsi="Calibri" w:cs="Calibri"/>
                <w:sz w:val="20"/>
                <w:szCs w:val="20"/>
              </w:rPr>
              <w:t xml:space="preserve">                          </w:t>
            </w:r>
          </w:p>
          <w:p w:rsidR="00C63CC9" w:rsidRPr="00C63CC9" w:rsidRDefault="00D42959" w:rsidP="00C63CC9">
            <w:pPr>
              <w:pStyle w:val="Default"/>
              <w:rPr>
                <w:rFonts w:ascii="Calibri" w:hAnsi="Calibri" w:cs="Calibri"/>
                <w:sz w:val="22"/>
                <w:szCs w:val="22"/>
              </w:rPr>
            </w:pPr>
            <w:r w:rsidRPr="00C63CC9">
              <w:rPr>
                <w:rFonts w:ascii="Calibri" w:hAnsi="Calibri" w:cs="Calibri"/>
                <w:sz w:val="22"/>
                <w:szCs w:val="22"/>
              </w:rPr>
              <w:t xml:space="preserve">This report details a positive impact on quality.    </w:t>
            </w:r>
            <w:r w:rsidR="008D2FFA" w:rsidRPr="00C63CC9">
              <w:rPr>
                <w:rFonts w:ascii="Calibri" w:hAnsi="Calibri" w:cs="Calibri"/>
                <w:sz w:val="22"/>
                <w:szCs w:val="22"/>
              </w:rPr>
              <w:t xml:space="preserve">  </w:t>
            </w:r>
            <w:r w:rsidR="00C63CC9">
              <w:rPr>
                <w:rFonts w:ascii="Calibri" w:hAnsi="Calibri" w:cs="Calibri"/>
                <w:sz w:val="22"/>
                <w:szCs w:val="22"/>
              </w:rPr>
              <w:t xml:space="preserve"> </w:t>
            </w:r>
            <w:r w:rsidR="008D2FFA" w:rsidRPr="00C63CC9">
              <w:rPr>
                <w:rFonts w:ascii="Calibri" w:hAnsi="Calibri" w:cs="Calibri"/>
                <w:sz w:val="22"/>
                <w:szCs w:val="22"/>
              </w:rPr>
              <w:t xml:space="preserve">             </w:t>
            </w:r>
            <w:sdt>
              <w:sdtPr>
                <w:rPr>
                  <w:rFonts w:ascii="Calibri" w:hAnsi="Calibri" w:cs="Calibri"/>
                  <w:sz w:val="22"/>
                  <w:szCs w:val="22"/>
                </w:rPr>
                <w:id w:val="-1643108502"/>
                <w14:checkbox>
                  <w14:checked w14:val="1"/>
                  <w14:checkedState w14:val="2612" w14:font="MS Gothic"/>
                  <w14:uncheckedState w14:val="2610" w14:font="MS Gothic"/>
                </w14:checkbox>
              </w:sdtPr>
              <w:sdtEndPr/>
              <w:sdtContent>
                <w:r w:rsidR="00C63CC9">
                  <w:rPr>
                    <w:rFonts w:ascii="MS Gothic" w:eastAsia="MS Gothic" w:hAnsi="MS Gothic" w:cs="Calibri" w:hint="eastAsia"/>
                    <w:sz w:val="22"/>
                    <w:szCs w:val="22"/>
                  </w:rPr>
                  <w:t>☒</w:t>
                </w:r>
              </w:sdtContent>
            </w:sdt>
          </w:p>
          <w:p w:rsidR="00D42959" w:rsidRPr="00C63CC9" w:rsidRDefault="008D2FFA" w:rsidP="00D42959">
            <w:pPr>
              <w:pStyle w:val="Default"/>
              <w:rPr>
                <w:rFonts w:ascii="Calibri" w:hAnsi="Calibri" w:cs="Calibri"/>
                <w:sz w:val="22"/>
                <w:szCs w:val="22"/>
              </w:rPr>
            </w:pPr>
            <w:r w:rsidRPr="00C63CC9">
              <w:rPr>
                <w:rFonts w:ascii="Calibri" w:hAnsi="Calibri" w:cs="Calibri"/>
                <w:sz w:val="22"/>
                <w:szCs w:val="22"/>
              </w:rPr>
              <w:t xml:space="preserve">          </w:t>
            </w:r>
            <w:r w:rsidR="00D42959" w:rsidRPr="00C63CC9">
              <w:rPr>
                <w:rFonts w:ascii="Calibri" w:hAnsi="Calibri" w:cs="Calibri"/>
                <w:sz w:val="22"/>
                <w:szCs w:val="22"/>
              </w:rPr>
              <w:t xml:space="preserve">                                                       </w:t>
            </w:r>
          </w:p>
          <w:p w:rsidR="00246EFA" w:rsidRPr="00C63CC9" w:rsidRDefault="00D42959" w:rsidP="00D42959">
            <w:pPr>
              <w:pStyle w:val="Default"/>
              <w:jc w:val="both"/>
              <w:rPr>
                <w:rFonts w:ascii="Calibri" w:hAnsi="Calibri" w:cs="Calibri"/>
                <w:sz w:val="22"/>
                <w:szCs w:val="22"/>
              </w:rPr>
            </w:pPr>
            <w:r w:rsidRPr="00C63CC9">
              <w:rPr>
                <w:rFonts w:ascii="Calibri" w:hAnsi="Calibri" w:cs="Calibri"/>
                <w:sz w:val="22"/>
                <w:szCs w:val="22"/>
              </w:rPr>
              <w:t>The proposal put forwards, if agreed, would have a positive impact in terms of enabling providers to meet safe staffing targets.  Retention and recruitment is forecast to be improved, which would have a positive impact on the safe delivery of local services.</w:t>
            </w:r>
          </w:p>
          <w:p w:rsidR="00246EFA" w:rsidRPr="000D1B0D" w:rsidRDefault="00246EFA" w:rsidP="00D42959">
            <w:pPr>
              <w:pStyle w:val="Default"/>
              <w:jc w:val="both"/>
              <w:rPr>
                <w:rFonts w:ascii="Calibri" w:hAnsi="Calibri" w:cs="Calibri"/>
                <w:sz w:val="20"/>
                <w:szCs w:val="20"/>
              </w:rPr>
            </w:pPr>
          </w:p>
        </w:tc>
      </w:tr>
      <w:tr w:rsidR="009D4EDC" w:rsidRPr="000D1B0D" w:rsidTr="00144ED4">
        <w:tc>
          <w:tcPr>
            <w:tcW w:w="1183" w:type="pct"/>
            <w:shd w:val="clear" w:color="auto" w:fill="auto"/>
          </w:tcPr>
          <w:p w:rsidR="009D4EDC" w:rsidRPr="000D1B0D" w:rsidRDefault="009D4EDC" w:rsidP="00E76606">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p w:rsidR="009D4EDC" w:rsidRPr="000D1B0D" w:rsidRDefault="009D4EDC" w:rsidP="00F300A1">
            <w:pPr>
              <w:pStyle w:val="Default"/>
              <w:rPr>
                <w:rFonts w:ascii="Calibri" w:hAnsi="Calibri" w:cs="Calibri"/>
                <w:b/>
                <w:sz w:val="20"/>
                <w:szCs w:val="20"/>
              </w:rPr>
            </w:pPr>
          </w:p>
        </w:tc>
        <w:tc>
          <w:tcPr>
            <w:tcW w:w="3817" w:type="pct"/>
            <w:gridSpan w:val="2"/>
            <w:shd w:val="clear" w:color="auto" w:fill="auto"/>
          </w:tcPr>
          <w:p w:rsidR="003C3603" w:rsidRPr="00C63CC9" w:rsidRDefault="00C63CC9" w:rsidP="00C63CC9">
            <w:pPr>
              <w:pStyle w:val="Default"/>
              <w:jc w:val="both"/>
              <w:rPr>
                <w:rFonts w:ascii="Calibri" w:hAnsi="Calibri" w:cs="Calibri"/>
                <w:sz w:val="22"/>
                <w:szCs w:val="22"/>
              </w:rPr>
            </w:pPr>
            <w:r w:rsidRPr="00C63CC9">
              <w:rPr>
                <w:rFonts w:ascii="Calibri" w:hAnsi="Calibri" w:cs="Calibri"/>
                <w:sz w:val="22"/>
                <w:szCs w:val="22"/>
              </w:rPr>
              <w:t>Any</w:t>
            </w:r>
            <w:r w:rsidR="003C3603" w:rsidRPr="00C63CC9">
              <w:rPr>
                <w:rFonts w:ascii="Calibri" w:hAnsi="Calibri" w:cs="Calibri"/>
                <w:sz w:val="22"/>
                <w:szCs w:val="22"/>
              </w:rPr>
              <w:t xml:space="preserve"> procurement implications in decisions taken to commission some elements of</w:t>
            </w:r>
            <w:r w:rsidRPr="00C63CC9">
              <w:rPr>
                <w:rFonts w:ascii="Calibri" w:hAnsi="Calibri" w:cs="Calibri"/>
                <w:sz w:val="22"/>
                <w:szCs w:val="22"/>
              </w:rPr>
              <w:t xml:space="preserve"> services mentioned in the plan would be </w:t>
            </w:r>
            <w:r w:rsidR="003C3603" w:rsidRPr="00C63CC9">
              <w:rPr>
                <w:rFonts w:ascii="Calibri" w:hAnsi="Calibri" w:cs="Calibri"/>
                <w:sz w:val="22"/>
                <w:szCs w:val="22"/>
              </w:rPr>
              <w:t>overseen by the Care Contracting Committee as they arise</w:t>
            </w:r>
          </w:p>
        </w:tc>
      </w:tr>
      <w:tr w:rsidR="00473CC5" w:rsidRPr="000D1B0D" w:rsidTr="00144ED4">
        <w:tc>
          <w:tcPr>
            <w:tcW w:w="1183" w:type="pct"/>
            <w:shd w:val="clear" w:color="auto" w:fill="auto"/>
          </w:tcPr>
          <w:p w:rsidR="00473CC5" w:rsidRPr="00F300A1" w:rsidRDefault="00473CC5" w:rsidP="00A65233">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gridSpan w:val="2"/>
            <w:shd w:val="clear" w:color="auto" w:fill="auto"/>
          </w:tcPr>
          <w:p w:rsidR="00246EFA" w:rsidRPr="00C63CC9" w:rsidRDefault="003C3603" w:rsidP="000D1B0D">
            <w:pPr>
              <w:pStyle w:val="Default"/>
              <w:jc w:val="both"/>
              <w:rPr>
                <w:rFonts w:ascii="Calibri" w:hAnsi="Calibri" w:cs="Calibri"/>
                <w:sz w:val="22"/>
                <w:szCs w:val="22"/>
              </w:rPr>
            </w:pPr>
            <w:r w:rsidRPr="00C63CC9">
              <w:rPr>
                <w:rFonts w:ascii="Calibri" w:hAnsi="Calibri" w:cs="Calibri"/>
                <w:sz w:val="22"/>
                <w:szCs w:val="22"/>
              </w:rPr>
              <w:t xml:space="preserve">The strategic and operational plans have been developed in conjunction with local stakeholders and </w:t>
            </w:r>
            <w:r w:rsidR="00A65233" w:rsidRPr="00C63CC9">
              <w:rPr>
                <w:rFonts w:ascii="Calibri" w:hAnsi="Calibri" w:cs="Calibri"/>
                <w:sz w:val="22"/>
                <w:szCs w:val="22"/>
              </w:rPr>
              <w:t xml:space="preserve">affected organisations. Further engagement will take place as appropriate </w:t>
            </w:r>
          </w:p>
          <w:p w:rsidR="00246EFA" w:rsidRPr="000D1B0D" w:rsidRDefault="00246EFA" w:rsidP="000D1B0D">
            <w:pPr>
              <w:pStyle w:val="Default"/>
              <w:jc w:val="both"/>
              <w:rPr>
                <w:rFonts w:ascii="Calibri" w:hAnsi="Calibri" w:cs="Calibri"/>
                <w:sz w:val="20"/>
                <w:szCs w:val="20"/>
              </w:rPr>
            </w:pP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gridSpan w:val="2"/>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gridSpan w:val="2"/>
            <w:shd w:val="clear" w:color="auto" w:fill="auto"/>
          </w:tcPr>
          <w:p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Have all conflicts and potential conflicts of interest been appropriately declared and entered in registers which are publicly available?</w:t>
            </w:r>
            <w:r w:rsidR="00006E07">
              <w:rPr>
                <w:rFonts w:ascii="Calibri" w:hAnsi="Calibri" w:cs="Calibri"/>
                <w:i/>
                <w:sz w:val="20"/>
                <w:szCs w:val="20"/>
              </w:rPr>
              <w:t xml:space="preserve"> </w:t>
            </w:r>
            <w:r w:rsidR="006006E6">
              <w:rPr>
                <w:rFonts w:ascii="Calibri" w:hAnsi="Calibri" w:cs="Calibri"/>
                <w:i/>
                <w:sz w:val="20"/>
                <w:szCs w:val="20"/>
              </w:rPr>
              <w:t xml:space="preserve"> </w:t>
            </w:r>
          </w:p>
          <w:p w:rsidR="00006E07" w:rsidRDefault="00006E07" w:rsidP="000D1B0D">
            <w:pPr>
              <w:pStyle w:val="Default"/>
              <w:jc w:val="both"/>
              <w:rPr>
                <w:rFonts w:ascii="Calibri" w:hAnsi="Calibri" w:cs="Calibri"/>
                <w:b/>
                <w:sz w:val="20"/>
                <w:szCs w:val="20"/>
              </w:rPr>
            </w:pPr>
          </w:p>
          <w:p w:rsidR="00006E07" w:rsidRDefault="00F913E2" w:rsidP="00D42959">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A65233">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246EFA" w:rsidRPr="000D1B0D" w:rsidRDefault="00246EFA" w:rsidP="000D1B0D">
            <w:pPr>
              <w:pStyle w:val="Default"/>
              <w:jc w:val="both"/>
              <w:rPr>
                <w:rFonts w:ascii="Calibri" w:hAnsi="Calibri" w:cs="Calibri"/>
                <w:sz w:val="20"/>
                <w:szCs w:val="20"/>
              </w:rPr>
            </w:pP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gridSpan w:val="2"/>
            <w:shd w:val="clear" w:color="auto" w:fill="auto"/>
          </w:tcPr>
          <w:p w:rsidR="006330C7" w:rsidRDefault="00F913E2"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1"/>
                  <w14:checkedState w14:val="2612" w14:font="MS Gothic"/>
                  <w14:uncheckedState w14:val="2610" w14:font="MS Gothic"/>
                </w14:checkbox>
              </w:sdtPr>
              <w:sdtEndPr/>
              <w:sdtContent>
                <w:r w:rsidR="00A65233">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1"/>
                  <w14:checkedState w14:val="2612" w14:font="MS Gothic"/>
                  <w14:uncheckedState w14:val="2610" w14:font="MS Gothic"/>
                </w14:checkbox>
              </w:sdtPr>
              <w:sdtEndPr/>
              <w:sdtContent>
                <w:r w:rsidR="00A65233">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Default="00F913E2"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1"/>
                  <w14:checkedState w14:val="2612" w14:font="MS Gothic"/>
                  <w14:uncheckedState w14:val="2610" w14:font="MS Gothic"/>
                </w14:checkbox>
              </w:sdtPr>
              <w:sdtEndPr/>
              <w:sdtContent>
                <w:r w:rsidR="00A65233">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A65233">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p w:rsidR="00220DF9" w:rsidRPr="006330C7" w:rsidRDefault="00220DF9" w:rsidP="00D42959">
            <w:pPr>
              <w:tabs>
                <w:tab w:val="left" w:pos="1656"/>
                <w:tab w:val="left" w:pos="5364"/>
              </w:tabs>
              <w:autoSpaceDE w:val="0"/>
              <w:autoSpaceDN w:val="0"/>
              <w:rPr>
                <w:rFonts w:ascii="Calibri" w:hAnsi="Calibri" w:cs="Calibri"/>
                <w:sz w:val="22"/>
                <w:szCs w:val="22"/>
              </w:rPr>
            </w:pP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09052F">
            <w:pPr>
              <w:pStyle w:val="Default"/>
              <w:rPr>
                <w:rFonts w:ascii="Calibri" w:hAnsi="Calibri" w:cs="Calibri"/>
                <w:i/>
                <w:sz w:val="20"/>
                <w:szCs w:val="20"/>
              </w:rPr>
            </w:pPr>
          </w:p>
        </w:tc>
        <w:tc>
          <w:tcPr>
            <w:tcW w:w="3817" w:type="pct"/>
            <w:gridSpan w:val="2"/>
            <w:shd w:val="clear" w:color="auto" w:fill="auto"/>
          </w:tcPr>
          <w:p w:rsidR="00144ED4" w:rsidRDefault="00F913E2" w:rsidP="000D1B0D">
            <w:pPr>
              <w:pStyle w:val="Default"/>
              <w:jc w:val="both"/>
              <w:rPr>
                <w:rFonts w:ascii="Calibri" w:hAnsi="Calibri" w:cs="Calibri"/>
                <w:sz w:val="20"/>
                <w:szCs w:val="20"/>
              </w:rPr>
            </w:pPr>
            <w:hyperlink r:id="rId9" w:history="1">
              <w:r w:rsidR="00160986" w:rsidRPr="009D45D5">
                <w:rPr>
                  <w:rStyle w:val="Hyperlink"/>
                  <w:rFonts w:ascii="Calibri" w:hAnsi="Calibri" w:cs="Calibri"/>
                  <w:sz w:val="20"/>
                  <w:szCs w:val="20"/>
                </w:rPr>
                <w:t>https://www.gov.uk/government/publications/the-nhs-constitution-for-england</w:t>
              </w:r>
            </w:hyperlink>
          </w:p>
          <w:p w:rsidR="00034CF6" w:rsidRDefault="00034CF6" w:rsidP="000D1B0D">
            <w:pPr>
              <w:pStyle w:val="Default"/>
              <w:jc w:val="both"/>
              <w:rPr>
                <w:rFonts w:ascii="Calibri" w:hAnsi="Calibri" w:cs="Calibri"/>
                <w:sz w:val="20"/>
                <w:szCs w:val="20"/>
              </w:rPr>
            </w:pPr>
          </w:p>
          <w:p w:rsidR="00006E07" w:rsidRPr="000D1B0D" w:rsidRDefault="00A65233" w:rsidP="0009052F">
            <w:pPr>
              <w:pStyle w:val="Default"/>
              <w:jc w:val="both"/>
              <w:rPr>
                <w:rFonts w:ascii="Calibri" w:hAnsi="Calibri" w:cs="Calibri"/>
                <w:sz w:val="20"/>
                <w:szCs w:val="20"/>
              </w:rPr>
            </w:pPr>
            <w:r>
              <w:rPr>
                <w:rFonts w:ascii="Calibri" w:hAnsi="Calibri" w:cs="Calibri"/>
                <w:sz w:val="20"/>
                <w:szCs w:val="20"/>
              </w:rPr>
              <w:t>Plans reflect our approach to delivering constitutional performance targets and the principles outlined in the NHS constitution</w:t>
            </w:r>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rsidR="00E402F3" w:rsidRPr="000D1B0D" w:rsidRDefault="00E402F3" w:rsidP="00E402F3">
            <w:pPr>
              <w:pStyle w:val="Default"/>
              <w:rPr>
                <w:rFonts w:ascii="Calibri" w:hAnsi="Calibri" w:cs="Calibri"/>
                <w:b/>
                <w:sz w:val="20"/>
                <w:szCs w:val="20"/>
              </w:rPr>
            </w:pPr>
          </w:p>
        </w:tc>
        <w:tc>
          <w:tcPr>
            <w:tcW w:w="3817" w:type="pct"/>
            <w:gridSpan w:val="2"/>
            <w:shd w:val="clear" w:color="auto" w:fill="auto"/>
          </w:tcPr>
          <w:p w:rsidR="00E402F3" w:rsidRPr="000D1B0D" w:rsidRDefault="000D7164" w:rsidP="000D1B0D">
            <w:pPr>
              <w:pStyle w:val="Default"/>
              <w:jc w:val="both"/>
              <w:rPr>
                <w:rFonts w:ascii="Calibri" w:hAnsi="Calibri" w:cs="Calibri"/>
                <w:sz w:val="20"/>
                <w:szCs w:val="20"/>
              </w:rPr>
            </w:pPr>
            <w: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85pt" o:ole="">
                  <v:imagedata r:id="rId10" o:title=""/>
                </v:shape>
                <o:OLEObject Type="Embed" ProgID="AcroExch.Document.DC" ShapeID="_x0000_i1025" DrawAspect="Icon" ObjectID="_1635055674" r:id="rId11"/>
              </w:object>
            </w:r>
          </w:p>
        </w:tc>
      </w:tr>
    </w:tbl>
    <w:p w:rsidR="003069D8" w:rsidRDefault="003069D8" w:rsidP="0087765D">
      <w:pPr>
        <w:rPr>
          <w:rFonts w:ascii="Calibri" w:hAnsi="Calibri" w:cs="Calibri"/>
          <w:sz w:val="20"/>
        </w:rPr>
      </w:pPr>
    </w:p>
    <w:sectPr w:rsidR="003069D8" w:rsidSect="00144ED4">
      <w:headerReference w:type="default" r:id="rId12"/>
      <w:footerReference w:type="default" r:id="rId13"/>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C4C" w:rsidRDefault="00416C4C" w:rsidP="00E1284E">
      <w:r>
        <w:separator/>
      </w:r>
    </w:p>
  </w:endnote>
  <w:endnote w:type="continuationSeparator" w:id="0">
    <w:p w:rsidR="00416C4C" w:rsidRDefault="00416C4C"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F913E2">
      <w:rPr>
        <w:noProof/>
      </w:rPr>
      <w:t>3</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C4C" w:rsidRDefault="00416C4C" w:rsidP="00E1284E">
      <w:r>
        <w:separator/>
      </w:r>
    </w:p>
  </w:footnote>
  <w:footnote w:type="continuationSeparator" w:id="0">
    <w:p w:rsidR="00416C4C" w:rsidRDefault="00416C4C"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0A828D" id="Rectangle 3" o:spid="_x0000_s1034"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5AEB"/>
    <w:multiLevelType w:val="hybridMultilevel"/>
    <w:tmpl w:val="4744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671B3"/>
    <w:multiLevelType w:val="hybridMultilevel"/>
    <w:tmpl w:val="551C77BA"/>
    <w:lvl w:ilvl="0" w:tplc="0809000B">
      <w:start w:val="1"/>
      <w:numFmt w:val="bullet"/>
      <w:lvlText w:val=""/>
      <w:lvlJc w:val="left"/>
      <w:pPr>
        <w:ind w:left="1468" w:hanging="360"/>
      </w:pPr>
      <w:rPr>
        <w:rFonts w:ascii="Wingdings" w:hAnsi="Wingdings" w:hint="default"/>
      </w:rPr>
    </w:lvl>
    <w:lvl w:ilvl="1" w:tplc="08090003" w:tentative="1">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6"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3019CA"/>
    <w:multiLevelType w:val="hybridMultilevel"/>
    <w:tmpl w:val="FE92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3"/>
  </w:num>
  <w:num w:numId="5">
    <w:abstractNumId w:val="1"/>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5BBC"/>
    <w:rsid w:val="00006E07"/>
    <w:rsid w:val="00034CF6"/>
    <w:rsid w:val="000350E4"/>
    <w:rsid w:val="00046B77"/>
    <w:rsid w:val="0009052F"/>
    <w:rsid w:val="00096E41"/>
    <w:rsid w:val="000A3EE0"/>
    <w:rsid w:val="000A554D"/>
    <w:rsid w:val="000A7EB7"/>
    <w:rsid w:val="000C4D3C"/>
    <w:rsid w:val="000C70E4"/>
    <w:rsid w:val="000D1426"/>
    <w:rsid w:val="000D1B0D"/>
    <w:rsid w:val="000D7164"/>
    <w:rsid w:val="00107535"/>
    <w:rsid w:val="001139C9"/>
    <w:rsid w:val="0013341F"/>
    <w:rsid w:val="00136B75"/>
    <w:rsid w:val="00144ED4"/>
    <w:rsid w:val="001556E0"/>
    <w:rsid w:val="00160986"/>
    <w:rsid w:val="0016479A"/>
    <w:rsid w:val="001D2409"/>
    <w:rsid w:val="002044CF"/>
    <w:rsid w:val="002054A0"/>
    <w:rsid w:val="00220DF9"/>
    <w:rsid w:val="00246A4E"/>
    <w:rsid w:val="00246EFA"/>
    <w:rsid w:val="0028419C"/>
    <w:rsid w:val="00297E97"/>
    <w:rsid w:val="002C32CC"/>
    <w:rsid w:val="002F38A7"/>
    <w:rsid w:val="003069D8"/>
    <w:rsid w:val="00306A1B"/>
    <w:rsid w:val="00347A15"/>
    <w:rsid w:val="0036733E"/>
    <w:rsid w:val="003A6433"/>
    <w:rsid w:val="003B7B5D"/>
    <w:rsid w:val="003C3603"/>
    <w:rsid w:val="003D7845"/>
    <w:rsid w:val="00415521"/>
    <w:rsid w:val="00416C4C"/>
    <w:rsid w:val="0043152F"/>
    <w:rsid w:val="004458C3"/>
    <w:rsid w:val="00453E4B"/>
    <w:rsid w:val="00462732"/>
    <w:rsid w:val="00473CC5"/>
    <w:rsid w:val="004767D8"/>
    <w:rsid w:val="004B444D"/>
    <w:rsid w:val="004E32B5"/>
    <w:rsid w:val="004F5317"/>
    <w:rsid w:val="004F6116"/>
    <w:rsid w:val="005310F1"/>
    <w:rsid w:val="0054308A"/>
    <w:rsid w:val="005A0D0A"/>
    <w:rsid w:val="005A47E4"/>
    <w:rsid w:val="005A4EC5"/>
    <w:rsid w:val="005A53D1"/>
    <w:rsid w:val="005B0C13"/>
    <w:rsid w:val="005F71BA"/>
    <w:rsid w:val="006006E6"/>
    <w:rsid w:val="0061670D"/>
    <w:rsid w:val="006330C7"/>
    <w:rsid w:val="00663808"/>
    <w:rsid w:val="00697B0F"/>
    <w:rsid w:val="006A23CE"/>
    <w:rsid w:val="006C1307"/>
    <w:rsid w:val="006F3A4E"/>
    <w:rsid w:val="00703268"/>
    <w:rsid w:val="0071072D"/>
    <w:rsid w:val="00711DA9"/>
    <w:rsid w:val="00734128"/>
    <w:rsid w:val="007405E7"/>
    <w:rsid w:val="00747E1F"/>
    <w:rsid w:val="00755446"/>
    <w:rsid w:val="007663C8"/>
    <w:rsid w:val="00781753"/>
    <w:rsid w:val="00793F90"/>
    <w:rsid w:val="007C526F"/>
    <w:rsid w:val="007D1C13"/>
    <w:rsid w:val="007E1C2F"/>
    <w:rsid w:val="007E2A23"/>
    <w:rsid w:val="008044FD"/>
    <w:rsid w:val="0081494F"/>
    <w:rsid w:val="008336DE"/>
    <w:rsid w:val="00842CBF"/>
    <w:rsid w:val="00846301"/>
    <w:rsid w:val="00876931"/>
    <w:rsid w:val="0087765D"/>
    <w:rsid w:val="00893409"/>
    <w:rsid w:val="008A1D10"/>
    <w:rsid w:val="008C5A15"/>
    <w:rsid w:val="008D2FFA"/>
    <w:rsid w:val="00901CC0"/>
    <w:rsid w:val="00911F40"/>
    <w:rsid w:val="009169E9"/>
    <w:rsid w:val="009245B1"/>
    <w:rsid w:val="0092546C"/>
    <w:rsid w:val="0094112C"/>
    <w:rsid w:val="009558BC"/>
    <w:rsid w:val="0098436E"/>
    <w:rsid w:val="00991A1C"/>
    <w:rsid w:val="00995A9E"/>
    <w:rsid w:val="009D39DE"/>
    <w:rsid w:val="009D4EDC"/>
    <w:rsid w:val="009E45D2"/>
    <w:rsid w:val="00A0148B"/>
    <w:rsid w:val="00A218A3"/>
    <w:rsid w:val="00A34173"/>
    <w:rsid w:val="00A65233"/>
    <w:rsid w:val="00A66D55"/>
    <w:rsid w:val="00A67A77"/>
    <w:rsid w:val="00A9358C"/>
    <w:rsid w:val="00A977E0"/>
    <w:rsid w:val="00AB1B69"/>
    <w:rsid w:val="00AB4FF6"/>
    <w:rsid w:val="00AB645B"/>
    <w:rsid w:val="00AF4A4F"/>
    <w:rsid w:val="00B24425"/>
    <w:rsid w:val="00B62F45"/>
    <w:rsid w:val="00B658DC"/>
    <w:rsid w:val="00B76E57"/>
    <w:rsid w:val="00B904DF"/>
    <w:rsid w:val="00B96B78"/>
    <w:rsid w:val="00B971B9"/>
    <w:rsid w:val="00BB0439"/>
    <w:rsid w:val="00BB23A5"/>
    <w:rsid w:val="00BB40A8"/>
    <w:rsid w:val="00BE2870"/>
    <w:rsid w:val="00BE53CE"/>
    <w:rsid w:val="00BE727A"/>
    <w:rsid w:val="00BE7CCE"/>
    <w:rsid w:val="00C41576"/>
    <w:rsid w:val="00C450D4"/>
    <w:rsid w:val="00C52984"/>
    <w:rsid w:val="00C63CC9"/>
    <w:rsid w:val="00C64AF0"/>
    <w:rsid w:val="00C81EF3"/>
    <w:rsid w:val="00CA348E"/>
    <w:rsid w:val="00CA4E8E"/>
    <w:rsid w:val="00CB1860"/>
    <w:rsid w:val="00CC2C55"/>
    <w:rsid w:val="00CF20A6"/>
    <w:rsid w:val="00CF347F"/>
    <w:rsid w:val="00CF395E"/>
    <w:rsid w:val="00D00012"/>
    <w:rsid w:val="00D3211A"/>
    <w:rsid w:val="00D42959"/>
    <w:rsid w:val="00D7667F"/>
    <w:rsid w:val="00DA7A50"/>
    <w:rsid w:val="00DB2D89"/>
    <w:rsid w:val="00DB37E5"/>
    <w:rsid w:val="00DE0BED"/>
    <w:rsid w:val="00DE185E"/>
    <w:rsid w:val="00DF7670"/>
    <w:rsid w:val="00E1284E"/>
    <w:rsid w:val="00E26D6F"/>
    <w:rsid w:val="00E402F3"/>
    <w:rsid w:val="00E52FDA"/>
    <w:rsid w:val="00E61AF0"/>
    <w:rsid w:val="00E72942"/>
    <w:rsid w:val="00E72F52"/>
    <w:rsid w:val="00E73B61"/>
    <w:rsid w:val="00E763D6"/>
    <w:rsid w:val="00E76606"/>
    <w:rsid w:val="00E86651"/>
    <w:rsid w:val="00E912FC"/>
    <w:rsid w:val="00E97542"/>
    <w:rsid w:val="00EA4E01"/>
    <w:rsid w:val="00EB634A"/>
    <w:rsid w:val="00F300A1"/>
    <w:rsid w:val="00F54DEB"/>
    <w:rsid w:val="00F56A37"/>
    <w:rsid w:val="00F913E2"/>
    <w:rsid w:val="00F97DC2"/>
    <w:rsid w:val="00FB449C"/>
    <w:rsid w:val="00FD4AC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85B7E0"/>
  <w15:docId w15:val="{DD5ED089-3349-43DF-9DC3-F2C854F4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PlaceholderText">
    <w:name w:val="Placeholder Text"/>
    <w:basedOn w:val="DefaultParagraphFont"/>
    <w:uiPriority w:val="99"/>
    <w:unhideWhenUsed/>
    <w:rsid w:val="00842C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1975060567">
      <w:bodyDiv w:val="1"/>
      <w:marLeft w:val="0"/>
      <w:marRight w:val="0"/>
      <w:marTop w:val="0"/>
      <w:marBottom w:val="0"/>
      <w:divBdr>
        <w:top w:val="none" w:sz="0" w:space="0" w:color="auto"/>
        <w:left w:val="none" w:sz="0" w:space="0" w:color="auto"/>
        <w:bottom w:val="none" w:sz="0" w:space="0" w:color="auto"/>
        <w:right w:val="none" w:sz="0" w:space="0" w:color="auto"/>
      </w:divBdr>
    </w:div>
    <w:div w:id="2128422861">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1CDB5E33-01EF-45F0-8040-BAA899DFA7F9}"/>
      </w:docPartPr>
      <w:docPartBody>
        <w:p w:rsidR="00D64D66" w:rsidRDefault="005F57D8">
          <w:r w:rsidRPr="005E21EC">
            <w:rPr>
              <w:rStyle w:val="PlaceholderText"/>
            </w:rPr>
            <w:t>Choose an item.</w:t>
          </w:r>
        </w:p>
      </w:docPartBody>
    </w:docPart>
    <w:docPart>
      <w:docPartPr>
        <w:name w:val="0146071C1414426F925DEB63060F4E98"/>
        <w:category>
          <w:name w:val="General"/>
          <w:gallery w:val="placeholder"/>
        </w:category>
        <w:types>
          <w:type w:val="bbPlcHdr"/>
        </w:types>
        <w:behaviors>
          <w:behavior w:val="content"/>
        </w:behaviors>
        <w:guid w:val="{236ABD40-5FA7-445A-B776-B955F209EE84}"/>
      </w:docPartPr>
      <w:docPartBody>
        <w:p w:rsidR="00D64D66" w:rsidRDefault="005F57D8" w:rsidP="005F57D8">
          <w:pPr>
            <w:pStyle w:val="0146071C1414426F925DEB63060F4E982"/>
          </w:pPr>
          <w:r w:rsidRPr="005E21EC">
            <w:rPr>
              <w:rStyle w:val="PlaceholderText"/>
            </w:rPr>
            <w:t>Choose an item.</w:t>
          </w:r>
        </w:p>
      </w:docPartBody>
    </w:docPart>
    <w:docPart>
      <w:docPartPr>
        <w:name w:val="5E948EC5DC984D49BFFBB0750303DE04"/>
        <w:category>
          <w:name w:val="General"/>
          <w:gallery w:val="placeholder"/>
        </w:category>
        <w:types>
          <w:type w:val="bbPlcHdr"/>
        </w:types>
        <w:behaviors>
          <w:behavior w:val="content"/>
        </w:behaviors>
        <w:guid w:val="{123A594D-5F9D-42BA-AD9D-771264C83704}"/>
      </w:docPartPr>
      <w:docPartBody>
        <w:p w:rsidR="00D64D66" w:rsidRDefault="005F57D8" w:rsidP="005F57D8">
          <w:pPr>
            <w:pStyle w:val="5E948EC5DC984D49BFFBB0750303DE041"/>
          </w:pPr>
          <w:r w:rsidRPr="005E21EC">
            <w:rPr>
              <w:rStyle w:val="PlaceholderText"/>
            </w:rPr>
            <w:t>Choose an item.</w:t>
          </w:r>
        </w:p>
      </w:docPartBody>
    </w:docPart>
    <w:docPart>
      <w:docPartPr>
        <w:name w:val="C4AB961EECCF4A3AA4054559838E24CC"/>
        <w:category>
          <w:name w:val="General"/>
          <w:gallery w:val="placeholder"/>
        </w:category>
        <w:types>
          <w:type w:val="bbPlcHdr"/>
        </w:types>
        <w:behaviors>
          <w:behavior w:val="content"/>
        </w:behaviors>
        <w:guid w:val="{4C31FBCE-A5AB-4C35-8E2C-AAA1338FA4EC}"/>
      </w:docPartPr>
      <w:docPartBody>
        <w:p w:rsidR="00D64D66" w:rsidRDefault="005F57D8" w:rsidP="005F57D8">
          <w:pPr>
            <w:pStyle w:val="C4AB961EECCF4A3AA4054559838E24CC"/>
          </w:pPr>
          <w:r w:rsidRPr="005E21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D8"/>
    <w:rsid w:val="004A779D"/>
    <w:rsid w:val="005F57D8"/>
    <w:rsid w:val="006769F6"/>
    <w:rsid w:val="00D54953"/>
    <w:rsid w:val="00D6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57D8"/>
    <w:rPr>
      <w:color w:val="808080"/>
    </w:rPr>
  </w:style>
  <w:style w:type="paragraph" w:customStyle="1" w:styleId="0146071C1414426F925DEB63060F4E98">
    <w:name w:val="0146071C1414426F925DEB63060F4E98"/>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1">
    <w:name w:val="0146071C1414426F925DEB63060F4E98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
    <w:name w:val="5E948EC5DC984D49BFFBB0750303DE04"/>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2">
    <w:name w:val="0146071C1414426F925DEB63060F4E982"/>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1">
    <w:name w:val="5E948EC5DC984D49BFFBB0750303DE04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C4AB961EECCF4A3AA4054559838E24CC">
    <w:name w:val="C4AB961EECCF4A3AA4054559838E24CC"/>
    <w:rsid w:val="005F57D8"/>
    <w:pPr>
      <w:autoSpaceDE w:val="0"/>
      <w:autoSpaceDN w:val="0"/>
      <w:adjustRightInd w:val="0"/>
      <w:spacing w:after="0" w:line="240" w:lineRule="auto"/>
    </w:pPr>
    <w:rPr>
      <w:rFonts w:ascii="Arial" w:eastAsia="MS Mincho"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B557C-4ED2-4DD7-8B7B-1E9A09CA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Jablonski</dc:creator>
  <cp:lastModifiedBy>Helen Askham (CCG)</cp:lastModifiedBy>
  <cp:revision>7</cp:revision>
  <cp:lastPrinted>2015-02-05T14:14:00Z</cp:lastPrinted>
  <dcterms:created xsi:type="dcterms:W3CDTF">2019-11-10T23:15:00Z</dcterms:created>
  <dcterms:modified xsi:type="dcterms:W3CDTF">2019-11-12T09:21:00Z</dcterms:modified>
</cp:coreProperties>
</file>