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7E" w:rsidRPr="00EB717E" w:rsidRDefault="00EB717E" w:rsidP="00EB717E">
      <w:pPr>
        <w:spacing w:after="0" w:line="660" w:lineRule="exact"/>
        <w:jc w:val="center"/>
        <w:outlineLvl w:val="0"/>
        <w:rPr>
          <w:rFonts w:ascii="Arial" w:eastAsia="MS Mincho" w:hAnsi="Arial" w:cs="Arial"/>
          <w:b/>
          <w:sz w:val="28"/>
          <w:szCs w:val="28"/>
        </w:rPr>
      </w:pPr>
      <w:bookmarkStart w:id="0" w:name="_Toc343591381"/>
      <w:r w:rsidRPr="00EB717E">
        <w:rPr>
          <w:rFonts w:ascii="Arial" w:eastAsia="MS Mincho" w:hAnsi="Arial" w:cs="Arial"/>
          <w:b/>
          <w:sz w:val="28"/>
          <w:szCs w:val="28"/>
        </w:rPr>
        <w:t>SCHEDULE 2 – THE SERVICES</w:t>
      </w:r>
      <w:bookmarkEnd w:id="0"/>
    </w:p>
    <w:p w:rsidR="00EB717E" w:rsidRPr="00EB717E" w:rsidRDefault="00EB717E" w:rsidP="00EB717E">
      <w:pPr>
        <w:spacing w:after="0" w:line="240" w:lineRule="auto"/>
        <w:jc w:val="center"/>
        <w:rPr>
          <w:rFonts w:ascii="Arial" w:eastAsia="MS Mincho" w:hAnsi="Arial" w:cs="Arial"/>
          <w:b/>
          <w:sz w:val="24"/>
          <w:szCs w:val="20"/>
          <w:lang w:val="en-US" w:eastAsia="ja-JP"/>
        </w:rPr>
      </w:pPr>
    </w:p>
    <w:p w:rsidR="00EB717E" w:rsidRPr="00EB717E" w:rsidRDefault="00EB717E" w:rsidP="00EB717E">
      <w:pPr>
        <w:numPr>
          <w:ilvl w:val="0"/>
          <w:numId w:val="1"/>
        </w:numPr>
        <w:spacing w:after="0" w:line="240" w:lineRule="auto"/>
        <w:contextualSpacing/>
        <w:jc w:val="center"/>
        <w:outlineLvl w:val="1"/>
        <w:rPr>
          <w:rFonts w:ascii="Arial" w:eastAsia="Times New Roman" w:hAnsi="Arial" w:cs="Arial"/>
          <w:b/>
          <w:sz w:val="24"/>
          <w:szCs w:val="24"/>
          <w:lang w:eastAsia="en-GB"/>
        </w:rPr>
      </w:pPr>
      <w:bookmarkStart w:id="1" w:name="_Toc343591382"/>
      <w:r w:rsidRPr="00EB717E">
        <w:rPr>
          <w:rFonts w:ascii="Arial" w:eastAsia="Times New Roman" w:hAnsi="Arial" w:cs="Arial"/>
          <w:b/>
          <w:sz w:val="24"/>
          <w:szCs w:val="24"/>
          <w:lang w:eastAsia="en-GB"/>
        </w:rPr>
        <w:t>Service Specifications</w:t>
      </w:r>
      <w:bookmarkEnd w:id="1"/>
    </w:p>
    <w:p w:rsidR="00EB717E" w:rsidRPr="00EB717E" w:rsidRDefault="00EB717E" w:rsidP="00EB717E">
      <w:pPr>
        <w:shd w:val="clear" w:color="auto" w:fill="FFFFFF"/>
        <w:spacing w:after="0" w:line="240" w:lineRule="auto"/>
        <w:jc w:val="both"/>
        <w:rPr>
          <w:rFonts w:ascii="Arial" w:eastAsia="MS Mincho" w:hAnsi="Arial" w:cs="Arial"/>
          <w:sz w:val="20"/>
          <w:szCs w:val="20"/>
          <w:lang w:val="en-US" w:eastAsia="ja-JP"/>
        </w:rPr>
      </w:pPr>
    </w:p>
    <w:p w:rsidR="00EB717E" w:rsidRPr="00EB717E" w:rsidRDefault="00EB717E" w:rsidP="00EB717E">
      <w:pPr>
        <w:spacing w:after="0" w:line="240" w:lineRule="auto"/>
        <w:jc w:val="both"/>
        <w:rPr>
          <w:rFonts w:ascii="Arial" w:eastAsia="MS Mincho" w:hAnsi="Arial" w:cs="Arial"/>
          <w:sz w:val="20"/>
          <w:szCs w:val="20"/>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EB717E" w:rsidRPr="00EB717E" w:rsidTr="00274AD9">
        <w:tc>
          <w:tcPr>
            <w:tcW w:w="2970"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Service Specification No.</w:t>
            </w:r>
          </w:p>
        </w:tc>
        <w:tc>
          <w:tcPr>
            <w:tcW w:w="5444" w:type="dxa"/>
            <w:shd w:val="clear" w:color="auto" w:fill="auto"/>
          </w:tcPr>
          <w:p w:rsidR="00EB717E" w:rsidRPr="00EB717E" w:rsidRDefault="00EB717E" w:rsidP="00EB717E">
            <w:pPr>
              <w:spacing w:after="0" w:line="240" w:lineRule="auto"/>
              <w:rPr>
                <w:rFonts w:ascii="Arial" w:eastAsia="MS Mincho" w:hAnsi="Arial" w:cs="Arial"/>
                <w:sz w:val="20"/>
                <w:szCs w:val="20"/>
                <w:lang w:val="en-US" w:eastAsia="ja-JP"/>
              </w:rPr>
            </w:pPr>
          </w:p>
        </w:tc>
      </w:tr>
      <w:tr w:rsidR="00EB717E" w:rsidRPr="00EB717E" w:rsidTr="00274AD9">
        <w:tc>
          <w:tcPr>
            <w:tcW w:w="2970"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Service</w:t>
            </w:r>
          </w:p>
        </w:tc>
        <w:tc>
          <w:tcPr>
            <w:tcW w:w="5444" w:type="dxa"/>
            <w:shd w:val="clear" w:color="auto" w:fill="auto"/>
          </w:tcPr>
          <w:p w:rsidR="00EB717E" w:rsidRPr="00EB717E" w:rsidRDefault="00F7417A"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Grimsby Practices in Partnership Drug &amp; Alcohol Service</w:t>
            </w:r>
          </w:p>
        </w:tc>
      </w:tr>
      <w:tr w:rsidR="00EB717E" w:rsidRPr="00EB717E" w:rsidTr="00274AD9">
        <w:tc>
          <w:tcPr>
            <w:tcW w:w="2970"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Commissioner Lead</w:t>
            </w:r>
          </w:p>
        </w:tc>
        <w:tc>
          <w:tcPr>
            <w:tcW w:w="5444" w:type="dxa"/>
            <w:shd w:val="clear" w:color="auto" w:fill="auto"/>
          </w:tcPr>
          <w:p w:rsidR="00EB717E" w:rsidRPr="00EB717E" w:rsidRDefault="00F7417A"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Pauline Bamgbala Service Lead Planned Care &amp; Cancers</w:t>
            </w:r>
          </w:p>
        </w:tc>
      </w:tr>
      <w:tr w:rsidR="00EB717E" w:rsidRPr="00EB717E" w:rsidTr="00274AD9">
        <w:tc>
          <w:tcPr>
            <w:tcW w:w="2970"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Provider Lead</w:t>
            </w:r>
          </w:p>
        </w:tc>
        <w:tc>
          <w:tcPr>
            <w:tcW w:w="5444" w:type="dxa"/>
            <w:shd w:val="clear" w:color="auto" w:fill="auto"/>
          </w:tcPr>
          <w:p w:rsidR="00EB717E" w:rsidRPr="00EB717E" w:rsidRDefault="005A68C6"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Claire Avery, Birkwood Surgery</w:t>
            </w:r>
          </w:p>
        </w:tc>
      </w:tr>
      <w:tr w:rsidR="00EB717E" w:rsidRPr="00EB717E" w:rsidTr="00274AD9">
        <w:tc>
          <w:tcPr>
            <w:tcW w:w="2970"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Period</w:t>
            </w:r>
          </w:p>
        </w:tc>
        <w:tc>
          <w:tcPr>
            <w:tcW w:w="5444" w:type="dxa"/>
            <w:shd w:val="clear" w:color="auto" w:fill="auto"/>
          </w:tcPr>
          <w:p w:rsidR="00EB717E" w:rsidRPr="00EB717E" w:rsidRDefault="00F7417A"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1</w:t>
            </w:r>
            <w:r w:rsidRPr="00F7417A">
              <w:rPr>
                <w:rFonts w:ascii="Arial" w:eastAsia="MS Mincho" w:hAnsi="Arial" w:cs="Arial"/>
                <w:sz w:val="20"/>
                <w:szCs w:val="20"/>
                <w:vertAlign w:val="superscript"/>
                <w:lang w:val="en-US" w:eastAsia="ja-JP"/>
              </w:rPr>
              <w:t>St</w:t>
            </w:r>
            <w:r>
              <w:rPr>
                <w:rFonts w:ascii="Arial" w:eastAsia="MS Mincho" w:hAnsi="Arial" w:cs="Arial"/>
                <w:sz w:val="20"/>
                <w:szCs w:val="20"/>
                <w:lang w:val="en-US" w:eastAsia="ja-JP"/>
              </w:rPr>
              <w:t xml:space="preserve"> April 2016 – March 31</w:t>
            </w:r>
            <w:r w:rsidRPr="00F7417A">
              <w:rPr>
                <w:rFonts w:ascii="Arial" w:eastAsia="MS Mincho" w:hAnsi="Arial" w:cs="Arial"/>
                <w:sz w:val="20"/>
                <w:szCs w:val="20"/>
                <w:vertAlign w:val="superscript"/>
                <w:lang w:val="en-US" w:eastAsia="ja-JP"/>
              </w:rPr>
              <w:t>st</w:t>
            </w:r>
            <w:r>
              <w:rPr>
                <w:rFonts w:ascii="Arial" w:eastAsia="MS Mincho" w:hAnsi="Arial" w:cs="Arial"/>
                <w:sz w:val="20"/>
                <w:szCs w:val="20"/>
                <w:lang w:val="en-US" w:eastAsia="ja-JP"/>
              </w:rPr>
              <w:t xml:space="preserve"> 2019</w:t>
            </w:r>
          </w:p>
        </w:tc>
      </w:tr>
      <w:tr w:rsidR="00EB717E" w:rsidRPr="00EB717E" w:rsidTr="00274AD9">
        <w:tc>
          <w:tcPr>
            <w:tcW w:w="2970" w:type="dxa"/>
            <w:shd w:val="clear" w:color="auto" w:fill="595959"/>
          </w:tcPr>
          <w:p w:rsidR="00EB717E" w:rsidRPr="00EB717E" w:rsidRDefault="00EB717E" w:rsidP="00EB717E">
            <w:pPr>
              <w:spacing w:after="0" w:line="360" w:lineRule="auto"/>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Date of Review</w:t>
            </w:r>
          </w:p>
        </w:tc>
        <w:tc>
          <w:tcPr>
            <w:tcW w:w="5444" w:type="dxa"/>
            <w:shd w:val="clear" w:color="auto" w:fill="auto"/>
          </w:tcPr>
          <w:p w:rsidR="00EB717E" w:rsidRPr="00EB717E" w:rsidRDefault="00F7417A" w:rsidP="00EB717E">
            <w:pPr>
              <w:spacing w:after="0" w:line="240" w:lineRule="auto"/>
              <w:rPr>
                <w:rFonts w:ascii="Arial" w:eastAsia="MS Mincho" w:hAnsi="Arial" w:cs="Arial"/>
                <w:sz w:val="20"/>
                <w:szCs w:val="20"/>
                <w:lang w:val="en-US" w:eastAsia="ja-JP"/>
              </w:rPr>
            </w:pPr>
            <w:r>
              <w:rPr>
                <w:rFonts w:ascii="Arial" w:eastAsia="MS Mincho" w:hAnsi="Arial" w:cs="Arial"/>
                <w:sz w:val="20"/>
                <w:szCs w:val="20"/>
                <w:lang w:val="en-US" w:eastAsia="ja-JP"/>
              </w:rPr>
              <w:t>March 2017</w:t>
            </w:r>
          </w:p>
        </w:tc>
      </w:tr>
    </w:tbl>
    <w:p w:rsidR="00EB717E" w:rsidRPr="00EB717E" w:rsidRDefault="00EB717E" w:rsidP="00EB717E">
      <w:pPr>
        <w:spacing w:after="0" w:line="240" w:lineRule="auto"/>
        <w:jc w:val="center"/>
        <w:rPr>
          <w:rFonts w:ascii="Arial" w:eastAsia="MS Mincho" w:hAnsi="Arial" w:cs="Arial"/>
          <w:sz w:val="20"/>
          <w:szCs w:val="20"/>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EB717E" w:rsidRPr="00EB717E" w:rsidTr="00274AD9">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1.</w:t>
            </w:r>
            <w:r w:rsidRPr="00EB717E">
              <w:rPr>
                <w:rFonts w:ascii="Arial" w:eastAsia="MS Mincho" w:hAnsi="Arial" w:cs="Arial"/>
                <w:b/>
                <w:color w:val="F79646"/>
                <w:sz w:val="24"/>
                <w:szCs w:val="20"/>
                <w:lang w:val="en-US" w:eastAsia="ja-JP"/>
              </w:rPr>
              <w:tab/>
              <w:t>Population Needs</w:t>
            </w:r>
          </w:p>
        </w:tc>
      </w:tr>
      <w:tr w:rsidR="00080E3A" w:rsidRPr="00080E3A" w:rsidTr="00274AD9">
        <w:tc>
          <w:tcPr>
            <w:tcW w:w="8414" w:type="dxa"/>
            <w:shd w:val="clear" w:color="auto" w:fill="auto"/>
          </w:tcPr>
          <w:p w:rsidR="00EB717E" w:rsidRPr="00080E3A" w:rsidRDefault="00EB717E" w:rsidP="00EB717E">
            <w:pPr>
              <w:spacing w:after="0" w:line="240" w:lineRule="auto"/>
              <w:ind w:left="360"/>
              <w:rPr>
                <w:rFonts w:ascii="Arial" w:eastAsia="MS Mincho" w:hAnsi="Arial" w:cs="Arial"/>
                <w:color w:val="000000" w:themeColor="text1"/>
                <w:szCs w:val="20"/>
                <w:lang w:val="en-US" w:eastAsia="ja-JP"/>
              </w:rPr>
            </w:pPr>
            <w:r w:rsidRPr="00080E3A">
              <w:rPr>
                <w:rFonts w:ascii="Arial" w:eastAsia="MS Mincho" w:hAnsi="Arial" w:cs="Arial"/>
                <w:color w:val="000000" w:themeColor="text1"/>
                <w:szCs w:val="20"/>
                <w:lang w:val="en-US" w:eastAsia="ja-JP"/>
              </w:rPr>
              <w:tab/>
            </w:r>
          </w:p>
          <w:p w:rsidR="00EB717E" w:rsidRPr="00080E3A" w:rsidRDefault="00EB717E" w:rsidP="00080E3A">
            <w:pPr>
              <w:numPr>
                <w:ilvl w:val="1"/>
                <w:numId w:val="2"/>
              </w:numPr>
              <w:tabs>
                <w:tab w:val="left" w:pos="601"/>
              </w:tabs>
              <w:spacing w:after="0" w:line="240" w:lineRule="auto"/>
              <w:ind w:left="601" w:hanging="601"/>
              <w:rPr>
                <w:rFonts w:ascii="Arial" w:eastAsia="MS Mincho" w:hAnsi="Arial" w:cs="Arial"/>
                <w:b/>
                <w:color w:val="000000" w:themeColor="text1"/>
                <w:szCs w:val="20"/>
                <w:lang w:val="en-US" w:eastAsia="ja-JP"/>
              </w:rPr>
            </w:pPr>
            <w:r w:rsidRPr="00080E3A">
              <w:rPr>
                <w:rFonts w:ascii="Arial" w:eastAsia="MS Mincho" w:hAnsi="Arial" w:cs="Arial"/>
                <w:b/>
                <w:color w:val="000000" w:themeColor="text1"/>
                <w:szCs w:val="20"/>
                <w:lang w:val="en-US" w:eastAsia="ja-JP"/>
              </w:rPr>
              <w:tab/>
              <w:t>National/local context and evidence base</w:t>
            </w:r>
            <w:r w:rsidR="00BB62C3" w:rsidRPr="00080E3A">
              <w:rPr>
                <w:rFonts w:ascii="Arial" w:eastAsia="MS Mincho" w:hAnsi="Arial" w:cs="Arial"/>
                <w:b/>
                <w:color w:val="000000" w:themeColor="text1"/>
                <w:szCs w:val="20"/>
                <w:lang w:val="en-US" w:eastAsia="ja-JP"/>
              </w:rPr>
              <w:t xml:space="preserve"> </w:t>
            </w:r>
          </w:p>
          <w:p w:rsidR="00477B69" w:rsidRPr="00080E3A" w:rsidRDefault="00477B69" w:rsidP="00080E3A">
            <w:pPr>
              <w:spacing w:after="0" w:line="240" w:lineRule="auto"/>
              <w:rPr>
                <w:rFonts w:ascii="Arial" w:eastAsia="MS Mincho" w:hAnsi="Arial" w:cs="Arial"/>
                <w:color w:val="000000" w:themeColor="text1"/>
                <w:szCs w:val="20"/>
                <w:lang w:val="en-US" w:eastAsia="ja-JP"/>
              </w:rPr>
            </w:pPr>
          </w:p>
          <w:p w:rsidR="00477B69" w:rsidRPr="00080E3A" w:rsidRDefault="00477B69" w:rsidP="00080E3A">
            <w:pPr>
              <w:spacing w:after="0" w:line="240" w:lineRule="auto"/>
              <w:jc w:val="both"/>
              <w:rPr>
                <w:rFonts w:ascii="Arial" w:eastAsia="MS Mincho" w:hAnsi="Arial" w:cs="Arial"/>
                <w:color w:val="000000" w:themeColor="text1"/>
                <w:szCs w:val="20"/>
                <w:lang w:val="en-US" w:eastAsia="ja-JP"/>
              </w:rPr>
            </w:pPr>
            <w:r w:rsidRPr="00080E3A">
              <w:rPr>
                <w:rFonts w:ascii="Arial" w:eastAsia="MS Mincho" w:hAnsi="Arial" w:cs="Arial"/>
                <w:color w:val="000000" w:themeColor="text1"/>
                <w:szCs w:val="20"/>
                <w:lang w:val="en-US" w:eastAsia="ja-JP"/>
              </w:rPr>
              <w:t xml:space="preserve">Drug &amp; alcohol misuse has become a complex and growing problem over the last 20-30 years.  There are an estimated 332,000 problem drug users in England generating over £15 billion in health </w:t>
            </w:r>
            <w:r w:rsidR="00F059F7" w:rsidRPr="00080E3A">
              <w:rPr>
                <w:rFonts w:ascii="Arial" w:eastAsia="MS Mincho" w:hAnsi="Arial" w:cs="Arial"/>
                <w:color w:val="000000" w:themeColor="text1"/>
                <w:szCs w:val="20"/>
                <w:lang w:val="en-US" w:eastAsia="ja-JP"/>
              </w:rPr>
              <w:t xml:space="preserve">&amp; social care </w:t>
            </w:r>
            <w:r w:rsidRPr="00080E3A">
              <w:rPr>
                <w:rFonts w:ascii="Arial" w:eastAsia="MS Mincho" w:hAnsi="Arial" w:cs="Arial"/>
                <w:color w:val="000000" w:themeColor="text1"/>
                <w:szCs w:val="20"/>
                <w:lang w:val="en-US" w:eastAsia="ja-JP"/>
              </w:rPr>
              <w:t>costs and associated crime per year.  Substance use can affect an individual’s ability to work</w:t>
            </w:r>
            <w:r w:rsidR="00F059F7" w:rsidRPr="00080E3A">
              <w:rPr>
                <w:rFonts w:ascii="Arial" w:eastAsia="MS Mincho" w:hAnsi="Arial" w:cs="Arial"/>
                <w:color w:val="000000" w:themeColor="text1"/>
                <w:szCs w:val="20"/>
                <w:lang w:val="en-US" w:eastAsia="ja-JP"/>
              </w:rPr>
              <w:t xml:space="preserve">, build positive relationships and often creates far reaching consequences for the wider </w:t>
            </w:r>
            <w:r w:rsidR="00484FAF" w:rsidRPr="00080E3A">
              <w:rPr>
                <w:rFonts w:ascii="Arial" w:eastAsia="MS Mincho" w:hAnsi="Arial" w:cs="Arial"/>
                <w:color w:val="000000" w:themeColor="text1"/>
                <w:szCs w:val="20"/>
                <w:lang w:val="en-US" w:eastAsia="ja-JP"/>
              </w:rPr>
              <w:t>community,</w:t>
            </w:r>
            <w:r w:rsidR="00F059F7" w:rsidRPr="00080E3A">
              <w:rPr>
                <w:rFonts w:ascii="Arial" w:eastAsia="MS Mincho" w:hAnsi="Arial" w:cs="Arial"/>
                <w:color w:val="000000" w:themeColor="text1"/>
                <w:szCs w:val="20"/>
                <w:lang w:val="en-US" w:eastAsia="ja-JP"/>
              </w:rPr>
              <w:t xml:space="preserve"> young people and the children of care givers.</w:t>
            </w:r>
          </w:p>
          <w:p w:rsidR="00F059F7" w:rsidRPr="00080E3A" w:rsidRDefault="00F059F7" w:rsidP="00080E3A">
            <w:pPr>
              <w:spacing w:after="0" w:line="240" w:lineRule="auto"/>
              <w:jc w:val="both"/>
              <w:rPr>
                <w:rFonts w:ascii="Arial" w:eastAsia="MS Mincho" w:hAnsi="Arial" w:cs="Arial"/>
                <w:color w:val="000000" w:themeColor="text1"/>
                <w:szCs w:val="20"/>
                <w:lang w:val="en-US" w:eastAsia="ja-JP"/>
              </w:rPr>
            </w:pPr>
          </w:p>
          <w:p w:rsidR="00F059F7" w:rsidRDefault="00F059F7" w:rsidP="00080E3A">
            <w:pPr>
              <w:spacing w:after="0" w:line="240" w:lineRule="auto"/>
              <w:jc w:val="both"/>
              <w:rPr>
                <w:rFonts w:ascii="Arial" w:eastAsia="MS Mincho" w:hAnsi="Arial" w:cs="Arial"/>
                <w:color w:val="000000" w:themeColor="text1"/>
                <w:szCs w:val="20"/>
                <w:lang w:val="en-US" w:eastAsia="ja-JP"/>
              </w:rPr>
            </w:pPr>
            <w:r w:rsidRPr="00080E3A">
              <w:rPr>
                <w:rFonts w:ascii="Arial" w:eastAsia="MS Mincho" w:hAnsi="Arial" w:cs="Arial"/>
                <w:color w:val="000000" w:themeColor="text1"/>
                <w:szCs w:val="20"/>
                <w:lang w:val="en-US" w:eastAsia="ja-JP"/>
              </w:rPr>
              <w:t xml:space="preserve">Drug &amp; alcohol </w:t>
            </w:r>
            <w:r w:rsidR="004F4C1C" w:rsidRPr="00080E3A">
              <w:rPr>
                <w:rFonts w:ascii="Arial" w:eastAsia="MS Mincho" w:hAnsi="Arial" w:cs="Arial"/>
                <w:color w:val="000000" w:themeColor="text1"/>
                <w:szCs w:val="20"/>
                <w:lang w:val="en-US" w:eastAsia="ja-JP"/>
              </w:rPr>
              <w:t xml:space="preserve">misuse requires </w:t>
            </w:r>
            <w:r w:rsidRPr="00080E3A">
              <w:rPr>
                <w:rFonts w:ascii="Arial" w:eastAsia="MS Mincho" w:hAnsi="Arial" w:cs="Arial"/>
                <w:color w:val="000000" w:themeColor="text1"/>
                <w:szCs w:val="20"/>
                <w:lang w:val="en-US" w:eastAsia="ja-JP"/>
              </w:rPr>
              <w:t>co-ord</w:t>
            </w:r>
            <w:r w:rsidR="004F4C1C" w:rsidRPr="00080E3A">
              <w:rPr>
                <w:rFonts w:ascii="Arial" w:eastAsia="MS Mincho" w:hAnsi="Arial" w:cs="Arial"/>
                <w:color w:val="000000" w:themeColor="text1"/>
                <w:szCs w:val="20"/>
                <w:lang w:val="en-US" w:eastAsia="ja-JP"/>
              </w:rPr>
              <w:t>inated action</w:t>
            </w:r>
            <w:r w:rsidRPr="00080E3A">
              <w:rPr>
                <w:rFonts w:ascii="Arial" w:eastAsia="MS Mincho" w:hAnsi="Arial" w:cs="Arial"/>
                <w:color w:val="000000" w:themeColor="text1"/>
                <w:szCs w:val="20"/>
                <w:lang w:val="en-US" w:eastAsia="ja-JP"/>
              </w:rPr>
              <w:t xml:space="preserve"> from a </w:t>
            </w:r>
            <w:r w:rsidR="004F4C1C" w:rsidRPr="00080E3A">
              <w:rPr>
                <w:rFonts w:ascii="Arial" w:eastAsia="MS Mincho" w:hAnsi="Arial" w:cs="Arial"/>
                <w:color w:val="000000" w:themeColor="text1"/>
                <w:szCs w:val="20"/>
                <w:lang w:val="en-US" w:eastAsia="ja-JP"/>
              </w:rPr>
              <w:t xml:space="preserve">variety of health &amp; social care </w:t>
            </w:r>
            <w:proofErr w:type="spellStart"/>
            <w:r w:rsidR="004F4C1C" w:rsidRPr="00080E3A">
              <w:rPr>
                <w:rFonts w:ascii="Arial" w:eastAsia="MS Mincho" w:hAnsi="Arial" w:cs="Arial"/>
                <w:color w:val="000000" w:themeColor="text1"/>
                <w:szCs w:val="20"/>
                <w:lang w:val="en-US" w:eastAsia="ja-JP"/>
              </w:rPr>
              <w:t>organisations</w:t>
            </w:r>
            <w:proofErr w:type="spellEnd"/>
            <w:r w:rsidR="004F4C1C" w:rsidRPr="00080E3A">
              <w:rPr>
                <w:rFonts w:ascii="Arial" w:eastAsia="MS Mincho" w:hAnsi="Arial" w:cs="Arial"/>
                <w:color w:val="000000" w:themeColor="text1"/>
                <w:szCs w:val="20"/>
                <w:lang w:val="en-US" w:eastAsia="ja-JP"/>
              </w:rPr>
              <w:t xml:space="preserve"> to help minimize the harm individuals do to themselves, their families and the health economy.</w:t>
            </w:r>
          </w:p>
          <w:p w:rsidR="00C67B9C" w:rsidRDefault="00C67B9C" w:rsidP="00080E3A">
            <w:pPr>
              <w:spacing w:after="0" w:line="240" w:lineRule="auto"/>
              <w:jc w:val="both"/>
              <w:rPr>
                <w:rFonts w:ascii="Arial" w:eastAsia="MS Mincho" w:hAnsi="Arial" w:cs="Arial"/>
                <w:color w:val="000000" w:themeColor="text1"/>
                <w:szCs w:val="20"/>
                <w:lang w:val="en-US" w:eastAsia="ja-JP"/>
              </w:rPr>
            </w:pPr>
          </w:p>
          <w:p w:rsidR="00C67B9C" w:rsidRDefault="00C67B9C" w:rsidP="00080E3A">
            <w:pPr>
              <w:spacing w:after="0" w:line="240" w:lineRule="auto"/>
              <w:jc w:val="both"/>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 xml:space="preserve">North East Lincolnshire is challenged by significant misuse of opiates, with prevalence rates estimated at twice the national average and half again the average for the Yorkshire and Humber region. This is exacerbated by high injecting rates for opiates, again reflecting twice the national average and half again the average for the Yorkshire and Humber region. </w:t>
            </w:r>
          </w:p>
          <w:p w:rsidR="00C67B9C" w:rsidRDefault="00C67B9C" w:rsidP="00080E3A">
            <w:pPr>
              <w:spacing w:after="0" w:line="240" w:lineRule="auto"/>
              <w:jc w:val="both"/>
              <w:rPr>
                <w:rFonts w:ascii="Arial" w:eastAsia="MS Mincho" w:hAnsi="Arial" w:cs="Arial"/>
                <w:color w:val="000000" w:themeColor="text1"/>
                <w:szCs w:val="20"/>
                <w:lang w:val="en-US" w:eastAsia="ja-JP"/>
              </w:rPr>
            </w:pPr>
          </w:p>
          <w:p w:rsidR="00C67B9C" w:rsidRDefault="00C67B9C" w:rsidP="00080E3A">
            <w:pPr>
              <w:spacing w:after="0" w:line="240" w:lineRule="auto"/>
              <w:jc w:val="both"/>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 xml:space="preserve">North East Lincolnshire has a reputation for alcohol misuse, attributed in part to the earlier fishing trade in Grimsby, and the seaside resort and concentration of clubs and licensed premises in </w:t>
            </w:r>
            <w:proofErr w:type="spellStart"/>
            <w:r>
              <w:rPr>
                <w:rFonts w:ascii="Arial" w:eastAsia="MS Mincho" w:hAnsi="Arial" w:cs="Arial"/>
                <w:color w:val="000000" w:themeColor="text1"/>
                <w:szCs w:val="20"/>
                <w:lang w:val="en-US" w:eastAsia="ja-JP"/>
              </w:rPr>
              <w:t>Cleethorpes</w:t>
            </w:r>
            <w:proofErr w:type="spellEnd"/>
            <w:r>
              <w:rPr>
                <w:rFonts w:ascii="Arial" w:eastAsia="MS Mincho" w:hAnsi="Arial" w:cs="Arial"/>
                <w:color w:val="000000" w:themeColor="text1"/>
                <w:szCs w:val="20"/>
                <w:lang w:val="en-US" w:eastAsia="ja-JP"/>
              </w:rPr>
              <w:t>. The Borough has the second highest rates of alcohol related crime and violent crime in the region and the highest rate of alcohol related sexual offending.</w:t>
            </w:r>
          </w:p>
          <w:p w:rsidR="00C67B9C" w:rsidRDefault="00C67B9C" w:rsidP="00080E3A">
            <w:pPr>
              <w:spacing w:after="0" w:line="240" w:lineRule="auto"/>
              <w:jc w:val="both"/>
              <w:rPr>
                <w:rFonts w:ascii="Arial" w:eastAsia="MS Mincho" w:hAnsi="Arial" w:cs="Arial"/>
                <w:color w:val="000000" w:themeColor="text1"/>
                <w:szCs w:val="20"/>
                <w:lang w:val="en-US" w:eastAsia="ja-JP"/>
              </w:rPr>
            </w:pPr>
          </w:p>
          <w:p w:rsidR="00C67B9C" w:rsidRDefault="00C67B9C" w:rsidP="00080E3A">
            <w:pPr>
              <w:spacing w:after="0" w:line="240" w:lineRule="auto"/>
              <w:jc w:val="both"/>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 xml:space="preserve">Local attitudes towards alcohol have significant impact upon health and health services. Public Health England profiling of the Borough reveals that the following domains are significantly above national rates and are increasing; alcohol specific hospital admissions for under 18s; months of </w:t>
            </w:r>
            <w:r w:rsidR="007453CB">
              <w:rPr>
                <w:rFonts w:ascii="Arial" w:eastAsia="MS Mincho" w:hAnsi="Arial" w:cs="Arial"/>
                <w:color w:val="000000" w:themeColor="text1"/>
                <w:szCs w:val="20"/>
                <w:lang w:val="en-US" w:eastAsia="ja-JP"/>
              </w:rPr>
              <w:t>life lost for both males and fe</w:t>
            </w:r>
            <w:r>
              <w:rPr>
                <w:rFonts w:ascii="Arial" w:eastAsia="MS Mincho" w:hAnsi="Arial" w:cs="Arial"/>
                <w:color w:val="000000" w:themeColor="text1"/>
                <w:szCs w:val="20"/>
                <w:lang w:val="en-US" w:eastAsia="ja-JP"/>
              </w:rPr>
              <w:t xml:space="preserve">males, </w:t>
            </w:r>
            <w:r w:rsidR="007453CB">
              <w:rPr>
                <w:rFonts w:ascii="Arial" w:eastAsia="MS Mincho" w:hAnsi="Arial" w:cs="Arial"/>
                <w:color w:val="000000" w:themeColor="text1"/>
                <w:szCs w:val="20"/>
                <w:lang w:val="en-US" w:eastAsia="ja-JP"/>
              </w:rPr>
              <w:t>alcohol specific and alcohol related mortality; and chronic liver disease.</w:t>
            </w:r>
            <w:r>
              <w:rPr>
                <w:rFonts w:ascii="Arial" w:eastAsia="MS Mincho" w:hAnsi="Arial" w:cs="Arial"/>
                <w:color w:val="000000" w:themeColor="text1"/>
                <w:szCs w:val="20"/>
                <w:lang w:val="en-US" w:eastAsia="ja-JP"/>
              </w:rPr>
              <w:t xml:space="preserve"> </w:t>
            </w:r>
          </w:p>
          <w:p w:rsidR="00C67B9C" w:rsidRDefault="00C67B9C" w:rsidP="00080E3A">
            <w:pPr>
              <w:spacing w:after="0" w:line="240" w:lineRule="auto"/>
              <w:jc w:val="both"/>
              <w:rPr>
                <w:rFonts w:ascii="Arial" w:eastAsia="MS Mincho" w:hAnsi="Arial" w:cs="Arial"/>
                <w:color w:val="000000" w:themeColor="text1"/>
                <w:szCs w:val="20"/>
                <w:lang w:val="en-US" w:eastAsia="ja-JP"/>
              </w:rPr>
            </w:pPr>
          </w:p>
          <w:p w:rsidR="00EB717E" w:rsidRDefault="00EB717E" w:rsidP="00EB717E">
            <w:pPr>
              <w:spacing w:after="0" w:line="240" w:lineRule="auto"/>
              <w:rPr>
                <w:rFonts w:ascii="Arial" w:eastAsia="MS Mincho" w:hAnsi="Arial" w:cs="Arial"/>
                <w:color w:val="000000" w:themeColor="text1"/>
                <w:szCs w:val="20"/>
                <w:lang w:val="en-US" w:eastAsia="ja-JP"/>
              </w:rPr>
            </w:pPr>
          </w:p>
          <w:p w:rsidR="00276B15" w:rsidRPr="00080E3A" w:rsidRDefault="00276B15" w:rsidP="00EB717E">
            <w:pPr>
              <w:spacing w:after="0" w:line="240" w:lineRule="auto"/>
              <w:rPr>
                <w:rFonts w:ascii="Arial" w:eastAsia="MS Mincho" w:hAnsi="Arial" w:cs="Arial"/>
                <w:color w:val="000000" w:themeColor="text1"/>
                <w:sz w:val="20"/>
                <w:szCs w:val="20"/>
                <w:lang w:val="en-US" w:eastAsia="ja-JP"/>
              </w:rPr>
            </w:pPr>
          </w:p>
        </w:tc>
      </w:tr>
      <w:tr w:rsidR="00EB717E" w:rsidRPr="00EB717E" w:rsidTr="00274AD9">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lastRenderedPageBreak/>
              <w:t>2.</w:t>
            </w:r>
            <w:r w:rsidRPr="00EB717E">
              <w:rPr>
                <w:rFonts w:ascii="Arial" w:eastAsia="MS Mincho" w:hAnsi="Arial" w:cs="Arial"/>
                <w:b/>
                <w:color w:val="F79646"/>
                <w:sz w:val="24"/>
                <w:szCs w:val="20"/>
                <w:lang w:val="en-US" w:eastAsia="ja-JP"/>
              </w:rPr>
              <w:tab/>
              <w:t>Outcomes</w:t>
            </w:r>
          </w:p>
        </w:tc>
      </w:tr>
      <w:tr w:rsidR="00080E3A" w:rsidRPr="00080E3A" w:rsidTr="00274AD9">
        <w:tc>
          <w:tcPr>
            <w:tcW w:w="8414" w:type="dxa"/>
            <w:shd w:val="clear" w:color="auto" w:fill="FFFFFF"/>
          </w:tcPr>
          <w:p w:rsidR="00EB717E" w:rsidRPr="00080E3A" w:rsidRDefault="00EB717E" w:rsidP="00EB717E">
            <w:pPr>
              <w:spacing w:after="0"/>
              <w:rPr>
                <w:rFonts w:ascii="Arial" w:eastAsia="MS Mincho" w:hAnsi="Arial" w:cs="Arial"/>
                <w:color w:val="000000" w:themeColor="text1"/>
                <w:szCs w:val="20"/>
                <w:lang w:val="en-US" w:eastAsia="ja-JP"/>
              </w:rPr>
            </w:pPr>
          </w:p>
          <w:p w:rsidR="00EB717E" w:rsidRPr="00080E3A" w:rsidRDefault="00EB717E" w:rsidP="00EB717E">
            <w:pPr>
              <w:spacing w:after="0"/>
              <w:rPr>
                <w:rFonts w:ascii="Arial" w:eastAsia="MS Mincho" w:hAnsi="Arial" w:cs="Arial"/>
                <w:b/>
                <w:color w:val="000000" w:themeColor="text1"/>
                <w:szCs w:val="20"/>
                <w:lang w:val="en-US" w:eastAsia="ja-JP"/>
              </w:rPr>
            </w:pPr>
            <w:r w:rsidRPr="00080E3A">
              <w:rPr>
                <w:rFonts w:ascii="Arial" w:eastAsia="MS Mincho" w:hAnsi="Arial" w:cs="Arial"/>
                <w:b/>
                <w:color w:val="000000" w:themeColor="text1"/>
                <w:szCs w:val="20"/>
                <w:lang w:val="en-US" w:eastAsia="ja-JP"/>
              </w:rPr>
              <w:t>2.1</w:t>
            </w:r>
            <w:r w:rsidRPr="00080E3A">
              <w:rPr>
                <w:rFonts w:ascii="Arial" w:eastAsia="MS Mincho" w:hAnsi="Arial" w:cs="Arial"/>
                <w:b/>
                <w:color w:val="000000" w:themeColor="text1"/>
                <w:szCs w:val="20"/>
                <w:lang w:val="en-US" w:eastAsia="ja-JP"/>
              </w:rPr>
              <w:tab/>
              <w:t>NHS Outcomes Framework Domains &amp; Indicators</w:t>
            </w:r>
          </w:p>
          <w:p w:rsidR="00EB717E" w:rsidRPr="00080E3A" w:rsidRDefault="00EB717E" w:rsidP="00EB717E">
            <w:pPr>
              <w:spacing w:after="0"/>
              <w:rPr>
                <w:rFonts w:ascii="Arial" w:eastAsia="MS Mincho" w:hAnsi="Arial" w:cs="Arial"/>
                <w:color w:val="000000" w:themeColor="text1"/>
                <w:szCs w:val="20"/>
                <w:lang w:val="en-US" w:eastAsia="ja-JP"/>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080E3A" w:rsidRPr="00080E3A" w:rsidTr="00683E5B">
              <w:tc>
                <w:tcPr>
                  <w:tcW w:w="1276"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Domain 1</w:t>
                  </w:r>
                </w:p>
              </w:tc>
              <w:tc>
                <w:tcPr>
                  <w:tcW w:w="5528"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Preventing people from dying prematurely</w:t>
                  </w:r>
                </w:p>
              </w:tc>
              <w:tc>
                <w:tcPr>
                  <w:tcW w:w="641" w:type="dxa"/>
                  <w:shd w:val="clear" w:color="auto" w:fill="auto"/>
                  <w:vAlign w:val="center"/>
                </w:tcPr>
                <w:p w:rsidR="00EB717E" w:rsidRPr="00080E3A" w:rsidRDefault="00683E5B" w:rsidP="00683E5B">
                  <w:pPr>
                    <w:spacing w:after="0"/>
                    <w:jc w:val="center"/>
                    <w:rPr>
                      <w:rFonts w:ascii="Arial" w:eastAsia="Times New Roman" w:hAnsi="Arial" w:cs="Arial"/>
                      <w:color w:val="000000" w:themeColor="text1"/>
                      <w:szCs w:val="20"/>
                      <w:lang w:val="en-US" w:eastAsia="en-GB"/>
                    </w:rPr>
                  </w:pPr>
                  <w:r>
                    <w:rPr>
                      <w:rFonts w:ascii="Arial" w:eastAsia="Times New Roman" w:hAnsi="Arial" w:cs="Arial"/>
                      <w:color w:val="000000" w:themeColor="text1"/>
                      <w:szCs w:val="20"/>
                      <w:lang w:val="en-US" w:eastAsia="en-GB"/>
                    </w:rPr>
                    <w:sym w:font="Wingdings" w:char="F0FC"/>
                  </w:r>
                </w:p>
              </w:tc>
            </w:tr>
            <w:tr w:rsidR="00080E3A" w:rsidRPr="00080E3A" w:rsidTr="00683E5B">
              <w:tc>
                <w:tcPr>
                  <w:tcW w:w="1276"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Domain 2</w:t>
                  </w:r>
                </w:p>
              </w:tc>
              <w:tc>
                <w:tcPr>
                  <w:tcW w:w="5528"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Enhancing quality of life for people with long-term conditions</w:t>
                  </w:r>
                </w:p>
              </w:tc>
              <w:tc>
                <w:tcPr>
                  <w:tcW w:w="641" w:type="dxa"/>
                  <w:shd w:val="clear" w:color="auto" w:fill="auto"/>
                  <w:vAlign w:val="center"/>
                </w:tcPr>
                <w:p w:rsidR="00EB717E" w:rsidRPr="00080E3A" w:rsidRDefault="00683E5B" w:rsidP="00683E5B">
                  <w:pPr>
                    <w:spacing w:after="0"/>
                    <w:jc w:val="center"/>
                    <w:rPr>
                      <w:rFonts w:ascii="Arial" w:eastAsia="Times New Roman" w:hAnsi="Arial" w:cs="Arial"/>
                      <w:color w:val="000000" w:themeColor="text1"/>
                      <w:szCs w:val="20"/>
                      <w:lang w:val="en-US" w:eastAsia="en-GB"/>
                    </w:rPr>
                  </w:pPr>
                  <w:r>
                    <w:rPr>
                      <w:rFonts w:ascii="Arial" w:eastAsia="Times New Roman" w:hAnsi="Arial" w:cs="Arial"/>
                      <w:color w:val="000000" w:themeColor="text1"/>
                      <w:szCs w:val="20"/>
                      <w:lang w:val="en-US" w:eastAsia="en-GB"/>
                    </w:rPr>
                    <w:sym w:font="Wingdings" w:char="F0FC"/>
                  </w:r>
                </w:p>
              </w:tc>
            </w:tr>
            <w:tr w:rsidR="00080E3A" w:rsidRPr="00080E3A" w:rsidTr="00683E5B">
              <w:tc>
                <w:tcPr>
                  <w:tcW w:w="1276"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Domain 3</w:t>
                  </w:r>
                </w:p>
              </w:tc>
              <w:tc>
                <w:tcPr>
                  <w:tcW w:w="5528"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Helping people to recover from episodes of ill-health or following injury</w:t>
                  </w:r>
                </w:p>
              </w:tc>
              <w:tc>
                <w:tcPr>
                  <w:tcW w:w="641" w:type="dxa"/>
                  <w:shd w:val="clear" w:color="auto" w:fill="auto"/>
                  <w:vAlign w:val="center"/>
                </w:tcPr>
                <w:p w:rsidR="00EB717E" w:rsidRPr="00080E3A" w:rsidRDefault="00683E5B" w:rsidP="00683E5B">
                  <w:pPr>
                    <w:spacing w:after="0"/>
                    <w:jc w:val="center"/>
                    <w:rPr>
                      <w:rFonts w:ascii="Arial" w:eastAsia="Times New Roman" w:hAnsi="Arial" w:cs="Arial"/>
                      <w:color w:val="000000" w:themeColor="text1"/>
                      <w:szCs w:val="20"/>
                      <w:lang w:val="en-US" w:eastAsia="en-GB"/>
                    </w:rPr>
                  </w:pPr>
                  <w:r>
                    <w:rPr>
                      <w:rFonts w:ascii="Arial" w:eastAsia="Times New Roman" w:hAnsi="Arial" w:cs="Arial"/>
                      <w:color w:val="000000" w:themeColor="text1"/>
                      <w:szCs w:val="20"/>
                      <w:lang w:val="en-US" w:eastAsia="en-GB"/>
                    </w:rPr>
                    <w:sym w:font="Wingdings" w:char="F0FC"/>
                  </w:r>
                </w:p>
              </w:tc>
            </w:tr>
            <w:tr w:rsidR="00080E3A" w:rsidRPr="00080E3A" w:rsidTr="00683E5B">
              <w:tc>
                <w:tcPr>
                  <w:tcW w:w="1276"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Domain 4</w:t>
                  </w:r>
                </w:p>
              </w:tc>
              <w:tc>
                <w:tcPr>
                  <w:tcW w:w="5528"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Ensuring people have a positive experience of care</w:t>
                  </w:r>
                </w:p>
              </w:tc>
              <w:tc>
                <w:tcPr>
                  <w:tcW w:w="641" w:type="dxa"/>
                  <w:shd w:val="clear" w:color="auto" w:fill="auto"/>
                  <w:vAlign w:val="center"/>
                </w:tcPr>
                <w:p w:rsidR="00EB717E" w:rsidRPr="00080E3A" w:rsidRDefault="00683E5B" w:rsidP="00683E5B">
                  <w:pPr>
                    <w:spacing w:after="0"/>
                    <w:jc w:val="center"/>
                    <w:rPr>
                      <w:rFonts w:ascii="Arial" w:eastAsia="Times New Roman" w:hAnsi="Arial" w:cs="Arial"/>
                      <w:color w:val="000000" w:themeColor="text1"/>
                      <w:szCs w:val="20"/>
                      <w:lang w:val="en-US" w:eastAsia="en-GB"/>
                    </w:rPr>
                  </w:pPr>
                  <w:r>
                    <w:rPr>
                      <w:rFonts w:ascii="Arial" w:eastAsia="Times New Roman" w:hAnsi="Arial" w:cs="Arial"/>
                      <w:color w:val="000000" w:themeColor="text1"/>
                      <w:szCs w:val="20"/>
                      <w:lang w:val="en-US" w:eastAsia="en-GB"/>
                    </w:rPr>
                    <w:sym w:font="Wingdings" w:char="F0FC"/>
                  </w:r>
                </w:p>
              </w:tc>
            </w:tr>
            <w:tr w:rsidR="00080E3A" w:rsidRPr="00080E3A" w:rsidTr="00683E5B">
              <w:tc>
                <w:tcPr>
                  <w:tcW w:w="1276"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Domain 5</w:t>
                  </w:r>
                </w:p>
              </w:tc>
              <w:tc>
                <w:tcPr>
                  <w:tcW w:w="5528" w:type="dxa"/>
                  <w:shd w:val="clear" w:color="auto" w:fill="auto"/>
                </w:tcPr>
                <w:p w:rsidR="00EB717E" w:rsidRPr="00080E3A" w:rsidRDefault="00EB717E" w:rsidP="00EB717E">
                  <w:pPr>
                    <w:spacing w:after="0"/>
                    <w:rPr>
                      <w:rFonts w:ascii="Arial" w:eastAsia="Times New Roman" w:hAnsi="Arial" w:cs="Arial"/>
                      <w:color w:val="000000" w:themeColor="text1"/>
                      <w:szCs w:val="20"/>
                      <w:lang w:val="en-US" w:eastAsia="en-GB"/>
                    </w:rPr>
                  </w:pPr>
                  <w:r w:rsidRPr="00080E3A">
                    <w:rPr>
                      <w:rFonts w:ascii="Arial" w:eastAsia="Times New Roman" w:hAnsi="Arial" w:cs="Arial"/>
                      <w:color w:val="000000" w:themeColor="text1"/>
                      <w:szCs w:val="20"/>
                      <w:lang w:val="en-US" w:eastAsia="en-GB"/>
                    </w:rPr>
                    <w:t>Treating and caring for people in safe environment and protecting them from avoidable harm</w:t>
                  </w:r>
                </w:p>
              </w:tc>
              <w:tc>
                <w:tcPr>
                  <w:tcW w:w="641" w:type="dxa"/>
                  <w:shd w:val="clear" w:color="auto" w:fill="auto"/>
                  <w:vAlign w:val="center"/>
                </w:tcPr>
                <w:p w:rsidR="00EB717E" w:rsidRPr="00080E3A" w:rsidRDefault="00683E5B" w:rsidP="00683E5B">
                  <w:pPr>
                    <w:spacing w:after="0"/>
                    <w:jc w:val="center"/>
                    <w:rPr>
                      <w:rFonts w:ascii="Arial" w:eastAsia="Times New Roman" w:hAnsi="Arial" w:cs="Arial"/>
                      <w:color w:val="000000" w:themeColor="text1"/>
                      <w:szCs w:val="20"/>
                      <w:lang w:val="en-US" w:eastAsia="en-GB"/>
                    </w:rPr>
                  </w:pPr>
                  <w:r>
                    <w:rPr>
                      <w:rFonts w:ascii="Arial" w:eastAsia="Times New Roman" w:hAnsi="Arial" w:cs="Arial"/>
                      <w:color w:val="000000" w:themeColor="text1"/>
                      <w:szCs w:val="20"/>
                      <w:lang w:val="en-US" w:eastAsia="en-GB"/>
                    </w:rPr>
                    <w:sym w:font="Wingdings" w:char="F0FC"/>
                  </w:r>
                </w:p>
              </w:tc>
            </w:tr>
          </w:tbl>
          <w:p w:rsidR="00EB717E" w:rsidRPr="00080E3A" w:rsidRDefault="00EB717E" w:rsidP="00EB717E">
            <w:pPr>
              <w:spacing w:after="0"/>
              <w:rPr>
                <w:rFonts w:ascii="Arial" w:eastAsia="MS Mincho" w:hAnsi="Arial" w:cs="Arial"/>
                <w:color w:val="000000" w:themeColor="text1"/>
                <w:szCs w:val="20"/>
                <w:lang w:val="en-US" w:eastAsia="ja-JP"/>
              </w:rPr>
            </w:pPr>
          </w:p>
          <w:p w:rsidR="00274AD9" w:rsidRPr="00080E3A" w:rsidRDefault="00274AD9" w:rsidP="00EB717E">
            <w:pPr>
              <w:spacing w:after="0"/>
              <w:rPr>
                <w:rFonts w:ascii="Arial" w:eastAsia="MS Mincho" w:hAnsi="Arial" w:cs="Arial"/>
                <w:color w:val="000000" w:themeColor="text1"/>
                <w:szCs w:val="20"/>
                <w:lang w:val="en-US" w:eastAsia="ja-JP"/>
              </w:rPr>
            </w:pPr>
          </w:p>
          <w:p w:rsidR="00080E3A" w:rsidRPr="00080E3A" w:rsidRDefault="00080E3A" w:rsidP="00EB717E">
            <w:pPr>
              <w:spacing w:after="0"/>
              <w:rPr>
                <w:rFonts w:ascii="Arial" w:eastAsia="MS Mincho" w:hAnsi="Arial" w:cs="Arial"/>
                <w:color w:val="000000" w:themeColor="text1"/>
                <w:szCs w:val="20"/>
                <w:lang w:val="en-US" w:eastAsia="ja-JP"/>
              </w:rPr>
            </w:pPr>
          </w:p>
          <w:p w:rsidR="00EB717E" w:rsidRPr="00080E3A" w:rsidRDefault="00EB717E" w:rsidP="00EB717E">
            <w:pPr>
              <w:spacing w:after="0"/>
              <w:rPr>
                <w:rFonts w:ascii="Arial" w:eastAsia="MS Mincho" w:hAnsi="Arial" w:cs="Arial"/>
                <w:b/>
                <w:color w:val="000000" w:themeColor="text1"/>
                <w:szCs w:val="20"/>
                <w:lang w:val="en-US" w:eastAsia="ja-JP"/>
              </w:rPr>
            </w:pPr>
            <w:r w:rsidRPr="00080E3A">
              <w:rPr>
                <w:rFonts w:ascii="Arial" w:eastAsia="MS Mincho" w:hAnsi="Arial" w:cs="Arial"/>
                <w:b/>
                <w:color w:val="000000" w:themeColor="text1"/>
                <w:szCs w:val="20"/>
                <w:lang w:val="en-US" w:eastAsia="ja-JP"/>
              </w:rPr>
              <w:t>2.2</w:t>
            </w:r>
            <w:r w:rsidRPr="00080E3A">
              <w:rPr>
                <w:rFonts w:ascii="Arial" w:eastAsia="MS Mincho" w:hAnsi="Arial" w:cs="Arial"/>
                <w:b/>
                <w:color w:val="000000" w:themeColor="text1"/>
                <w:szCs w:val="20"/>
                <w:lang w:val="en-US" w:eastAsia="ja-JP"/>
              </w:rPr>
              <w:tab/>
              <w:t>Local defined outcomes</w:t>
            </w:r>
            <w:r w:rsidR="00BB62C3" w:rsidRPr="00080E3A">
              <w:rPr>
                <w:rFonts w:ascii="Arial" w:eastAsia="MS Mincho" w:hAnsi="Arial" w:cs="Arial"/>
                <w:b/>
                <w:color w:val="000000" w:themeColor="text1"/>
                <w:szCs w:val="20"/>
                <w:lang w:val="en-US" w:eastAsia="ja-JP"/>
              </w:rPr>
              <w:t xml:space="preserve"> </w:t>
            </w:r>
          </w:p>
          <w:p w:rsidR="00274AD9" w:rsidRPr="00080E3A" w:rsidRDefault="00274AD9" w:rsidP="00EB717E">
            <w:pPr>
              <w:spacing w:after="0"/>
              <w:rPr>
                <w:rFonts w:ascii="Arial" w:eastAsia="MS Mincho" w:hAnsi="Arial" w:cs="Arial"/>
                <w:color w:val="000000" w:themeColor="text1"/>
                <w:szCs w:val="20"/>
                <w:lang w:val="en-US" w:eastAsia="ja-JP"/>
              </w:rPr>
            </w:pPr>
          </w:p>
          <w:p w:rsidR="00143274" w:rsidRDefault="00143274" w:rsidP="00EB717E">
            <w:pPr>
              <w:spacing w:after="0"/>
              <w:rPr>
                <w:rFonts w:ascii="Arial" w:eastAsia="MS Mincho" w:hAnsi="Arial" w:cs="Arial"/>
                <w:color w:val="000000" w:themeColor="text1"/>
                <w:szCs w:val="20"/>
                <w:lang w:val="en-US" w:eastAsia="ja-JP"/>
              </w:rPr>
            </w:pPr>
            <w:r w:rsidRPr="00080E3A">
              <w:rPr>
                <w:rFonts w:ascii="Arial" w:eastAsia="MS Mincho" w:hAnsi="Arial" w:cs="Arial"/>
                <w:color w:val="000000" w:themeColor="text1"/>
                <w:szCs w:val="20"/>
                <w:lang w:val="en-US" w:eastAsia="ja-JP"/>
              </w:rPr>
              <w:t>No</w:t>
            </w:r>
            <w:r w:rsidR="00561021" w:rsidRPr="00080E3A">
              <w:rPr>
                <w:rFonts w:ascii="Arial" w:eastAsia="MS Mincho" w:hAnsi="Arial" w:cs="Arial"/>
                <w:color w:val="000000" w:themeColor="text1"/>
                <w:szCs w:val="20"/>
                <w:lang w:val="en-US" w:eastAsia="ja-JP"/>
              </w:rPr>
              <w:t>rth E</w:t>
            </w:r>
            <w:r w:rsidRPr="00080E3A">
              <w:rPr>
                <w:rFonts w:ascii="Arial" w:eastAsia="MS Mincho" w:hAnsi="Arial" w:cs="Arial"/>
                <w:color w:val="000000" w:themeColor="text1"/>
                <w:szCs w:val="20"/>
                <w:lang w:val="en-US" w:eastAsia="ja-JP"/>
              </w:rPr>
              <w:t>ast Lincolnshire Clinical Commissioning Group (NE</w:t>
            </w:r>
            <w:r w:rsidR="00274AD9" w:rsidRPr="00080E3A">
              <w:rPr>
                <w:rFonts w:ascii="Arial" w:eastAsia="MS Mincho" w:hAnsi="Arial" w:cs="Arial"/>
                <w:color w:val="000000" w:themeColor="text1"/>
                <w:szCs w:val="20"/>
                <w:lang w:val="en-US" w:eastAsia="ja-JP"/>
              </w:rPr>
              <w:t>LCCG) require excellent patient-</w:t>
            </w:r>
            <w:r w:rsidRPr="00080E3A">
              <w:rPr>
                <w:rFonts w:ascii="Arial" w:eastAsia="MS Mincho" w:hAnsi="Arial" w:cs="Arial"/>
                <w:color w:val="000000" w:themeColor="text1"/>
                <w:szCs w:val="20"/>
                <w:lang w:val="en-US" w:eastAsia="ja-JP"/>
              </w:rPr>
              <w:t>cent</w:t>
            </w:r>
            <w:r w:rsidR="00080E3A" w:rsidRPr="00080E3A">
              <w:rPr>
                <w:rFonts w:ascii="Arial" w:eastAsia="MS Mincho" w:hAnsi="Arial" w:cs="Arial"/>
                <w:color w:val="000000" w:themeColor="text1"/>
                <w:szCs w:val="20"/>
                <w:lang w:val="en-US" w:eastAsia="ja-JP"/>
              </w:rPr>
              <w:t>ere</w:t>
            </w:r>
            <w:r w:rsidRPr="00080E3A">
              <w:rPr>
                <w:rFonts w:ascii="Arial" w:eastAsia="MS Mincho" w:hAnsi="Arial" w:cs="Arial"/>
                <w:color w:val="000000" w:themeColor="text1"/>
                <w:szCs w:val="20"/>
                <w:lang w:val="en-US" w:eastAsia="ja-JP"/>
              </w:rPr>
              <w:t>d services which provide high quality standards of care</w:t>
            </w:r>
            <w:r w:rsidR="00561021" w:rsidRPr="00080E3A">
              <w:rPr>
                <w:rFonts w:ascii="Arial" w:eastAsia="MS Mincho" w:hAnsi="Arial" w:cs="Arial"/>
                <w:color w:val="000000" w:themeColor="text1"/>
                <w:szCs w:val="20"/>
                <w:lang w:val="en-US" w:eastAsia="ja-JP"/>
              </w:rPr>
              <w:t>,</w:t>
            </w:r>
            <w:r w:rsidRPr="00080E3A">
              <w:rPr>
                <w:rFonts w:ascii="Arial" w:eastAsia="MS Mincho" w:hAnsi="Arial" w:cs="Arial"/>
                <w:color w:val="000000" w:themeColor="text1"/>
                <w:szCs w:val="20"/>
                <w:lang w:val="en-US" w:eastAsia="ja-JP"/>
              </w:rPr>
              <w:t xml:space="preserve"> is easily accessible and has well designed care pathway(s)</w:t>
            </w:r>
            <w:r w:rsidR="007453CB">
              <w:rPr>
                <w:rFonts w:ascii="Arial" w:eastAsia="MS Mincho" w:hAnsi="Arial" w:cs="Arial"/>
                <w:color w:val="000000" w:themeColor="text1"/>
                <w:szCs w:val="20"/>
                <w:lang w:val="en-US" w:eastAsia="ja-JP"/>
              </w:rPr>
              <w:t>, this will deliver to the Public Health Outcomes Framework domains of;</w:t>
            </w:r>
            <w:r w:rsidR="00046DCF" w:rsidRPr="00080E3A">
              <w:rPr>
                <w:rFonts w:ascii="Arial" w:eastAsia="MS Mincho" w:hAnsi="Arial" w:cs="Arial"/>
                <w:color w:val="000000" w:themeColor="text1"/>
                <w:szCs w:val="20"/>
                <w:lang w:val="en-US" w:eastAsia="ja-JP"/>
              </w:rPr>
              <w:t xml:space="preserve"> </w:t>
            </w:r>
          </w:p>
          <w:p w:rsidR="007544BC" w:rsidRDefault="007544BC" w:rsidP="00EB717E">
            <w:pPr>
              <w:spacing w:after="0"/>
              <w:rPr>
                <w:rFonts w:ascii="Arial" w:eastAsia="MS Mincho" w:hAnsi="Arial" w:cs="Arial"/>
                <w:color w:val="000000" w:themeColor="text1"/>
                <w:szCs w:val="20"/>
                <w:lang w:val="en-US" w:eastAsia="ja-JP"/>
              </w:rPr>
            </w:pPr>
          </w:p>
          <w:p w:rsidR="007544BC" w:rsidRDefault="007544BC" w:rsidP="00EB717E">
            <w:pPr>
              <w:spacing w:after="0"/>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2.15 (i) Opiates - The number of drug users leaving drug treatment successfully (free of drug(s) of dependence) who do not then re-present to treatment again within six months as a proportion of the numbers in treatment.</w:t>
            </w:r>
          </w:p>
          <w:p w:rsidR="007544BC" w:rsidRDefault="007544BC" w:rsidP="007544BC">
            <w:pPr>
              <w:spacing w:after="0"/>
              <w:rPr>
                <w:rFonts w:ascii="Arial" w:eastAsia="MS Mincho" w:hAnsi="Arial" w:cs="Arial"/>
                <w:color w:val="000000" w:themeColor="text1"/>
                <w:szCs w:val="20"/>
                <w:lang w:val="en-US" w:eastAsia="ja-JP"/>
              </w:rPr>
            </w:pPr>
          </w:p>
          <w:p w:rsidR="007544BC" w:rsidRDefault="007544BC" w:rsidP="007544BC">
            <w:pPr>
              <w:spacing w:after="0"/>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2.15 (ii) Non- opiates - The number of drug users leaving drug treatment successfully (free of drug(s) of dependence) who do not then re-present to treatment again within six months as a proportion of the numbers in treatment.</w:t>
            </w:r>
          </w:p>
          <w:p w:rsidR="007453CB" w:rsidRPr="00080E3A" w:rsidRDefault="007453CB" w:rsidP="00EB717E">
            <w:pPr>
              <w:spacing w:after="0"/>
              <w:rPr>
                <w:rFonts w:ascii="Arial" w:eastAsia="MS Mincho" w:hAnsi="Arial" w:cs="Arial"/>
                <w:color w:val="000000" w:themeColor="text1"/>
                <w:szCs w:val="20"/>
                <w:lang w:val="en-US" w:eastAsia="ja-JP"/>
              </w:rPr>
            </w:pPr>
          </w:p>
          <w:p w:rsidR="00046DCF" w:rsidRPr="00080E3A" w:rsidRDefault="007544BC" w:rsidP="00EB717E">
            <w:pPr>
              <w:spacing w:after="0"/>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 xml:space="preserve">2.18 The number of admissions to hospital involving an alcohol-related primary diagnosis or an alcohol related external cause per 100,000 of the population (age </w:t>
            </w:r>
            <w:proofErr w:type="spellStart"/>
            <w:r>
              <w:rPr>
                <w:rFonts w:ascii="Arial" w:eastAsia="MS Mincho" w:hAnsi="Arial" w:cs="Arial"/>
                <w:color w:val="000000" w:themeColor="text1"/>
                <w:szCs w:val="20"/>
                <w:lang w:val="en-US" w:eastAsia="ja-JP"/>
              </w:rPr>
              <w:t>standardised</w:t>
            </w:r>
            <w:proofErr w:type="spellEnd"/>
            <w:r>
              <w:rPr>
                <w:rFonts w:ascii="Arial" w:eastAsia="MS Mincho" w:hAnsi="Arial" w:cs="Arial"/>
                <w:color w:val="000000" w:themeColor="text1"/>
                <w:szCs w:val="20"/>
                <w:lang w:val="en-US" w:eastAsia="ja-JP"/>
              </w:rPr>
              <w:t>).</w:t>
            </w:r>
          </w:p>
          <w:p w:rsidR="00EB717E" w:rsidRPr="00080E3A" w:rsidRDefault="00EB717E" w:rsidP="00EB717E">
            <w:pPr>
              <w:spacing w:after="0"/>
              <w:rPr>
                <w:rFonts w:ascii="Arial" w:eastAsia="MS Mincho" w:hAnsi="Arial" w:cs="Arial"/>
                <w:color w:val="000000" w:themeColor="text1"/>
                <w:szCs w:val="20"/>
                <w:lang w:val="en-US" w:eastAsia="ja-JP"/>
              </w:rPr>
            </w:pPr>
          </w:p>
        </w:tc>
      </w:tr>
      <w:tr w:rsidR="00EB717E" w:rsidRPr="00EB717E" w:rsidTr="00274AD9">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t>3.</w:t>
            </w:r>
            <w:r w:rsidRPr="00EB717E">
              <w:rPr>
                <w:rFonts w:ascii="Arial" w:eastAsia="MS Mincho" w:hAnsi="Arial" w:cs="Arial"/>
                <w:b/>
                <w:color w:val="F79646"/>
                <w:sz w:val="24"/>
                <w:szCs w:val="20"/>
                <w:lang w:val="en-US" w:eastAsia="ja-JP"/>
              </w:rPr>
              <w:tab/>
              <w:t>Scope</w:t>
            </w:r>
          </w:p>
        </w:tc>
      </w:tr>
      <w:tr w:rsidR="00080E3A" w:rsidRPr="001D2C3C" w:rsidTr="00274AD9">
        <w:tc>
          <w:tcPr>
            <w:tcW w:w="8414" w:type="dxa"/>
            <w:shd w:val="clear" w:color="auto" w:fill="auto"/>
          </w:tcPr>
          <w:p w:rsidR="00EB717E" w:rsidRPr="001D2C3C" w:rsidRDefault="00EB717E" w:rsidP="00EB717E">
            <w:pPr>
              <w:spacing w:after="0" w:line="240" w:lineRule="auto"/>
              <w:rPr>
                <w:rFonts w:ascii="Arial" w:eastAsia="MS Mincho" w:hAnsi="Arial" w:cs="Arial"/>
                <w:color w:val="000000" w:themeColor="text1"/>
                <w:szCs w:val="20"/>
                <w:lang w:val="en-US" w:eastAsia="ja-JP"/>
              </w:rPr>
            </w:pPr>
          </w:p>
          <w:p w:rsidR="00EB717E" w:rsidRPr="001D2C3C" w:rsidRDefault="00EB717E" w:rsidP="00EB717E">
            <w:pPr>
              <w:spacing w:after="0" w:line="240" w:lineRule="auto"/>
              <w:rPr>
                <w:rFonts w:ascii="Arial" w:eastAsia="MS Mincho" w:hAnsi="Arial" w:cs="Arial"/>
                <w:b/>
                <w:color w:val="000000" w:themeColor="text1"/>
                <w:szCs w:val="20"/>
                <w:lang w:val="en-US" w:eastAsia="ja-JP"/>
              </w:rPr>
            </w:pPr>
            <w:r w:rsidRPr="001D2C3C">
              <w:rPr>
                <w:rFonts w:ascii="Arial" w:eastAsia="MS Mincho" w:hAnsi="Arial" w:cs="Arial"/>
                <w:b/>
                <w:color w:val="000000" w:themeColor="text1"/>
                <w:szCs w:val="20"/>
                <w:lang w:val="en-US" w:eastAsia="ja-JP"/>
              </w:rPr>
              <w:t>3.1</w:t>
            </w:r>
            <w:r w:rsidRPr="001D2C3C">
              <w:rPr>
                <w:rFonts w:ascii="Arial" w:eastAsia="MS Mincho" w:hAnsi="Arial" w:cs="Arial"/>
                <w:b/>
                <w:color w:val="000000" w:themeColor="text1"/>
                <w:szCs w:val="20"/>
                <w:lang w:val="en-US" w:eastAsia="ja-JP"/>
              </w:rPr>
              <w:tab/>
              <w:t>Aims and objectives of service</w:t>
            </w:r>
          </w:p>
          <w:p w:rsidR="005972A7" w:rsidRPr="001D2C3C" w:rsidRDefault="005972A7" w:rsidP="005972A7">
            <w:pPr>
              <w:spacing w:after="0"/>
              <w:rPr>
                <w:rFonts w:ascii="Arial" w:eastAsia="MS Mincho" w:hAnsi="Arial" w:cs="Arial"/>
                <w:color w:val="000000" w:themeColor="text1"/>
                <w:szCs w:val="20"/>
                <w:lang w:val="en-US" w:eastAsia="ja-JP"/>
              </w:rPr>
            </w:pPr>
          </w:p>
          <w:p w:rsidR="001B7E5F" w:rsidRPr="001D2C3C" w:rsidRDefault="001B7E5F"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To provide a primary care GP led, fully integrated health, wellbeing and social care drug and alcohol service to </w:t>
            </w:r>
            <w:r w:rsidR="008B3330" w:rsidRPr="001D2C3C">
              <w:rPr>
                <w:rFonts w:ascii="Arial" w:eastAsia="MS Mincho" w:hAnsi="Arial" w:cs="Arial"/>
                <w:color w:val="000000" w:themeColor="text1"/>
                <w:szCs w:val="20"/>
                <w:lang w:val="en-US" w:eastAsia="ja-JP"/>
              </w:rPr>
              <w:t>GPIP</w:t>
            </w:r>
            <w:r w:rsidR="00BB62C3" w:rsidRPr="001D2C3C">
              <w:rPr>
                <w:rFonts w:ascii="Arial" w:eastAsia="MS Mincho" w:hAnsi="Arial" w:cs="Arial"/>
                <w:color w:val="000000" w:themeColor="text1"/>
                <w:szCs w:val="20"/>
                <w:lang w:val="en-US" w:eastAsia="ja-JP"/>
              </w:rPr>
              <w:t xml:space="preserve"> </w:t>
            </w:r>
            <w:r w:rsidRPr="001D2C3C">
              <w:rPr>
                <w:rFonts w:ascii="Arial" w:eastAsia="MS Mincho" w:hAnsi="Arial" w:cs="Arial"/>
                <w:color w:val="000000" w:themeColor="text1"/>
                <w:szCs w:val="20"/>
                <w:lang w:val="en-US" w:eastAsia="ja-JP"/>
              </w:rPr>
              <w:t>NDTMS/PHE compliant cohort of patients</w:t>
            </w:r>
            <w:r w:rsidR="002A0880">
              <w:rPr>
                <w:rFonts w:ascii="Arial" w:eastAsia="MS Mincho" w:hAnsi="Arial" w:cs="Arial"/>
                <w:color w:val="000000" w:themeColor="text1"/>
                <w:szCs w:val="20"/>
                <w:lang w:val="en-US" w:eastAsia="ja-JP"/>
              </w:rPr>
              <w:t xml:space="preserve"> with a borough-wide recovery orientated integrated system</w:t>
            </w:r>
          </w:p>
          <w:p w:rsidR="005972A7" w:rsidRPr="001D2C3C" w:rsidRDefault="005972A7"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Improve the health and wellbeing of their registered patients by providing drug, alcohol and integrated health </w:t>
            </w:r>
            <w:r w:rsidR="00527154" w:rsidRPr="001D2C3C">
              <w:rPr>
                <w:rFonts w:ascii="Arial" w:eastAsia="MS Mincho" w:hAnsi="Arial" w:cs="Arial"/>
                <w:color w:val="000000" w:themeColor="text1"/>
                <w:szCs w:val="20"/>
                <w:lang w:val="en-US" w:eastAsia="ja-JP"/>
              </w:rPr>
              <w:t xml:space="preserve">and substance misuse </w:t>
            </w:r>
            <w:r w:rsidRPr="001D2C3C">
              <w:rPr>
                <w:rFonts w:ascii="Arial" w:eastAsia="MS Mincho" w:hAnsi="Arial" w:cs="Arial"/>
                <w:color w:val="000000" w:themeColor="text1"/>
                <w:szCs w:val="20"/>
                <w:lang w:val="en-US" w:eastAsia="ja-JP"/>
              </w:rPr>
              <w:t>services to their NDTMS</w:t>
            </w:r>
            <w:r w:rsidR="0053579E" w:rsidRPr="001D2C3C">
              <w:rPr>
                <w:rFonts w:ascii="Arial" w:eastAsia="MS Mincho" w:hAnsi="Arial" w:cs="Arial"/>
                <w:color w:val="000000" w:themeColor="text1"/>
                <w:szCs w:val="20"/>
                <w:lang w:val="en-US" w:eastAsia="ja-JP"/>
              </w:rPr>
              <w:t>/PHE</w:t>
            </w:r>
            <w:r w:rsidRPr="001D2C3C">
              <w:rPr>
                <w:rFonts w:ascii="Arial" w:eastAsia="MS Mincho" w:hAnsi="Arial" w:cs="Arial"/>
                <w:color w:val="000000" w:themeColor="text1"/>
                <w:szCs w:val="20"/>
                <w:lang w:val="en-US" w:eastAsia="ja-JP"/>
              </w:rPr>
              <w:t xml:space="preserve"> compliant cohort of patients</w:t>
            </w:r>
          </w:p>
          <w:p w:rsidR="0053579E" w:rsidRPr="001D2C3C" w:rsidRDefault="0053579E"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To provide swift access</w:t>
            </w:r>
            <w:r w:rsidR="00BB62C3" w:rsidRPr="001D2C3C">
              <w:rPr>
                <w:rFonts w:ascii="Arial" w:eastAsia="MS Mincho" w:hAnsi="Arial" w:cs="Arial"/>
                <w:color w:val="000000" w:themeColor="text1"/>
                <w:szCs w:val="20"/>
                <w:lang w:val="en-US" w:eastAsia="ja-JP"/>
              </w:rPr>
              <w:t xml:space="preserve"> to drug and alcohol services for the</w:t>
            </w:r>
            <w:r w:rsidRPr="001D2C3C">
              <w:rPr>
                <w:rFonts w:ascii="Arial" w:eastAsia="MS Mincho" w:hAnsi="Arial" w:cs="Arial"/>
                <w:color w:val="000000" w:themeColor="text1"/>
                <w:szCs w:val="20"/>
                <w:lang w:val="en-US" w:eastAsia="ja-JP"/>
              </w:rPr>
              <w:t xml:space="preserve"> NDTMS/PHE compliant cohort of patients</w:t>
            </w:r>
            <w:r w:rsidR="00BB62C3" w:rsidRPr="001D2C3C">
              <w:rPr>
                <w:rFonts w:ascii="Arial" w:eastAsia="MS Mincho" w:hAnsi="Arial" w:cs="Arial"/>
                <w:color w:val="000000" w:themeColor="text1"/>
                <w:szCs w:val="20"/>
                <w:lang w:val="en-US" w:eastAsia="ja-JP"/>
              </w:rPr>
              <w:t>,</w:t>
            </w:r>
            <w:r w:rsidRPr="001D2C3C">
              <w:rPr>
                <w:rFonts w:ascii="Arial" w:eastAsia="MS Mincho" w:hAnsi="Arial" w:cs="Arial"/>
                <w:color w:val="000000" w:themeColor="text1"/>
                <w:szCs w:val="20"/>
                <w:lang w:val="en-US" w:eastAsia="ja-JP"/>
              </w:rPr>
              <w:t xml:space="preserve"> based on patient needs and at times of crisis</w:t>
            </w:r>
          </w:p>
          <w:p w:rsidR="005972A7" w:rsidRPr="001D2C3C" w:rsidRDefault="005972A7"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To provide substi</w:t>
            </w:r>
            <w:r w:rsidR="00BB62C3" w:rsidRPr="001D2C3C">
              <w:rPr>
                <w:rFonts w:ascii="Arial" w:eastAsia="MS Mincho" w:hAnsi="Arial" w:cs="Arial"/>
                <w:color w:val="000000" w:themeColor="text1"/>
                <w:szCs w:val="20"/>
                <w:lang w:val="en-US" w:eastAsia="ja-JP"/>
              </w:rPr>
              <w:t xml:space="preserve">tute opioid medication treatment </w:t>
            </w:r>
            <w:proofErr w:type="spellStart"/>
            <w:r w:rsidR="00BB62C3" w:rsidRPr="001D2C3C">
              <w:rPr>
                <w:rFonts w:ascii="Arial" w:eastAsia="MS Mincho" w:hAnsi="Arial" w:cs="Arial"/>
                <w:color w:val="000000" w:themeColor="text1"/>
                <w:szCs w:val="20"/>
                <w:lang w:val="en-US" w:eastAsia="ja-JP"/>
              </w:rPr>
              <w:t>programmes</w:t>
            </w:r>
            <w:proofErr w:type="spellEnd"/>
            <w:r w:rsidRPr="001D2C3C">
              <w:rPr>
                <w:rFonts w:ascii="Arial" w:eastAsia="MS Mincho" w:hAnsi="Arial" w:cs="Arial"/>
                <w:color w:val="000000" w:themeColor="text1"/>
                <w:szCs w:val="20"/>
                <w:lang w:val="en-US" w:eastAsia="ja-JP"/>
              </w:rPr>
              <w:t xml:space="preserve"> in line with </w:t>
            </w:r>
            <w:r w:rsidRPr="001D2C3C">
              <w:rPr>
                <w:rFonts w:ascii="Arial" w:eastAsia="MS Mincho" w:hAnsi="Arial" w:cs="Arial"/>
                <w:color w:val="000000" w:themeColor="text1"/>
                <w:szCs w:val="20"/>
                <w:lang w:val="en-US" w:eastAsia="ja-JP"/>
              </w:rPr>
              <w:lastRenderedPageBreak/>
              <w:t>local and national guidelines</w:t>
            </w:r>
          </w:p>
          <w:p w:rsidR="005972A7" w:rsidRPr="001D2C3C" w:rsidRDefault="005972A7"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To </w:t>
            </w:r>
            <w:r w:rsidR="00BB62C3" w:rsidRPr="001D2C3C">
              <w:rPr>
                <w:rFonts w:ascii="Arial" w:eastAsia="MS Mincho" w:hAnsi="Arial" w:cs="Arial"/>
                <w:color w:val="000000" w:themeColor="text1"/>
                <w:szCs w:val="20"/>
                <w:lang w:val="en-US" w:eastAsia="ja-JP"/>
              </w:rPr>
              <w:t>offer and deliver</w:t>
            </w:r>
            <w:r w:rsidRPr="001D2C3C">
              <w:rPr>
                <w:rFonts w:ascii="Arial" w:eastAsia="MS Mincho" w:hAnsi="Arial" w:cs="Arial"/>
                <w:color w:val="000000" w:themeColor="text1"/>
                <w:szCs w:val="20"/>
                <w:lang w:val="en-US" w:eastAsia="ja-JP"/>
              </w:rPr>
              <w:t xml:space="preserve"> nurse health checks</w:t>
            </w:r>
            <w:r w:rsidR="00BB62C3" w:rsidRPr="001D2C3C">
              <w:rPr>
                <w:rFonts w:ascii="Arial" w:eastAsia="MS Mincho" w:hAnsi="Arial" w:cs="Arial"/>
                <w:color w:val="000000" w:themeColor="text1"/>
                <w:szCs w:val="20"/>
                <w:lang w:val="en-US" w:eastAsia="ja-JP"/>
              </w:rPr>
              <w:t xml:space="preserve"> and appropriate healthcare treatments</w:t>
            </w:r>
            <w:r w:rsidRPr="001D2C3C">
              <w:rPr>
                <w:rFonts w:ascii="Arial" w:eastAsia="MS Mincho" w:hAnsi="Arial" w:cs="Arial"/>
                <w:color w:val="000000" w:themeColor="text1"/>
                <w:szCs w:val="20"/>
                <w:lang w:val="en-US" w:eastAsia="ja-JP"/>
              </w:rPr>
              <w:t xml:space="preserve">, Hepatitis A/B </w:t>
            </w:r>
            <w:proofErr w:type="spellStart"/>
            <w:r w:rsidRPr="001D2C3C">
              <w:rPr>
                <w:rFonts w:ascii="Arial" w:eastAsia="MS Mincho" w:hAnsi="Arial" w:cs="Arial"/>
                <w:color w:val="000000" w:themeColor="text1"/>
                <w:szCs w:val="20"/>
                <w:lang w:val="en-US" w:eastAsia="ja-JP"/>
              </w:rPr>
              <w:t>immunisations</w:t>
            </w:r>
            <w:proofErr w:type="spellEnd"/>
            <w:r w:rsidRPr="001D2C3C">
              <w:rPr>
                <w:rFonts w:ascii="Arial" w:eastAsia="MS Mincho" w:hAnsi="Arial" w:cs="Arial"/>
                <w:color w:val="000000" w:themeColor="text1"/>
                <w:szCs w:val="20"/>
                <w:lang w:val="en-US" w:eastAsia="ja-JP"/>
              </w:rPr>
              <w:t xml:space="preserve"> and Hepatitis C screening and referral </w:t>
            </w:r>
            <w:r w:rsidR="00BB62C3" w:rsidRPr="001D2C3C">
              <w:rPr>
                <w:rFonts w:ascii="Arial" w:eastAsia="MS Mincho" w:hAnsi="Arial" w:cs="Arial"/>
                <w:color w:val="000000" w:themeColor="text1"/>
                <w:szCs w:val="20"/>
                <w:lang w:val="en-US" w:eastAsia="ja-JP"/>
              </w:rPr>
              <w:t xml:space="preserve">to the specialist Hepatitis C treatment provider </w:t>
            </w:r>
            <w:r w:rsidRPr="001D2C3C">
              <w:rPr>
                <w:rFonts w:ascii="Arial" w:eastAsia="MS Mincho" w:hAnsi="Arial" w:cs="Arial"/>
                <w:color w:val="000000" w:themeColor="text1"/>
                <w:szCs w:val="20"/>
                <w:lang w:val="en-US" w:eastAsia="ja-JP"/>
              </w:rPr>
              <w:t>as appropriate</w:t>
            </w:r>
          </w:p>
          <w:p w:rsidR="005972A7" w:rsidRPr="001D2C3C" w:rsidRDefault="005972A7"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Provide one to one care planned </w:t>
            </w:r>
            <w:r w:rsidR="00274AD9" w:rsidRPr="001D2C3C">
              <w:rPr>
                <w:rFonts w:ascii="Arial" w:eastAsia="MS Mincho" w:hAnsi="Arial" w:cs="Arial"/>
                <w:color w:val="000000" w:themeColor="text1"/>
                <w:szCs w:val="20"/>
                <w:lang w:val="en-US" w:eastAsia="ja-JP"/>
              </w:rPr>
              <w:t xml:space="preserve">psychosocial </w:t>
            </w:r>
            <w:r w:rsidRPr="001D2C3C">
              <w:rPr>
                <w:rFonts w:ascii="Arial" w:eastAsia="MS Mincho" w:hAnsi="Arial" w:cs="Arial"/>
                <w:color w:val="000000" w:themeColor="text1"/>
                <w:szCs w:val="20"/>
                <w:lang w:val="en-US" w:eastAsia="ja-JP"/>
              </w:rPr>
              <w:t>therapeutic interventions in line with national and local guidelines in the Management of Substance Misuse</w:t>
            </w:r>
            <w:r w:rsidR="00BB62C3" w:rsidRPr="001D2C3C">
              <w:rPr>
                <w:rFonts w:ascii="Arial" w:eastAsia="MS Mincho" w:hAnsi="Arial" w:cs="Arial"/>
                <w:color w:val="000000" w:themeColor="text1"/>
                <w:szCs w:val="20"/>
                <w:lang w:val="en-US" w:eastAsia="ja-JP"/>
              </w:rPr>
              <w:t>/PHE requirements</w:t>
            </w:r>
          </w:p>
          <w:p w:rsidR="005972A7" w:rsidRPr="001D2C3C" w:rsidRDefault="005972A7"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Provide </w:t>
            </w:r>
            <w:r w:rsidR="00425395" w:rsidRPr="001D2C3C">
              <w:rPr>
                <w:rFonts w:ascii="Arial" w:eastAsia="MS Mincho" w:hAnsi="Arial" w:cs="Arial"/>
                <w:color w:val="000000" w:themeColor="text1"/>
                <w:szCs w:val="20"/>
                <w:lang w:val="en-US" w:eastAsia="ja-JP"/>
              </w:rPr>
              <w:t>in surgery</w:t>
            </w:r>
            <w:r w:rsidRPr="001D2C3C">
              <w:rPr>
                <w:rFonts w:ascii="Arial" w:eastAsia="MS Mincho" w:hAnsi="Arial" w:cs="Arial"/>
                <w:color w:val="000000" w:themeColor="text1"/>
                <w:szCs w:val="20"/>
                <w:lang w:val="en-US" w:eastAsia="ja-JP"/>
              </w:rPr>
              <w:t xml:space="preserve"> family support</w:t>
            </w:r>
            <w:r w:rsidR="00274AD9" w:rsidRPr="001D2C3C">
              <w:rPr>
                <w:rFonts w:ascii="Arial" w:eastAsia="MS Mincho" w:hAnsi="Arial" w:cs="Arial"/>
                <w:color w:val="000000" w:themeColor="text1"/>
                <w:szCs w:val="20"/>
                <w:lang w:val="en-US" w:eastAsia="ja-JP"/>
              </w:rPr>
              <w:t xml:space="preserve"> for vulnerable adults and the safeguarding of children in line wit</w:t>
            </w:r>
            <w:r w:rsidR="0053579E" w:rsidRPr="001D2C3C">
              <w:rPr>
                <w:rFonts w:ascii="Arial" w:eastAsia="MS Mincho" w:hAnsi="Arial" w:cs="Arial"/>
                <w:color w:val="000000" w:themeColor="text1"/>
                <w:szCs w:val="20"/>
                <w:lang w:val="en-US" w:eastAsia="ja-JP"/>
              </w:rPr>
              <w:t>h local and national guidelines</w:t>
            </w:r>
            <w:r w:rsidR="00BB62C3" w:rsidRPr="001D2C3C">
              <w:rPr>
                <w:rFonts w:ascii="Arial" w:eastAsia="MS Mincho" w:hAnsi="Arial" w:cs="Arial"/>
                <w:color w:val="000000" w:themeColor="text1"/>
                <w:szCs w:val="20"/>
                <w:lang w:val="en-US" w:eastAsia="ja-JP"/>
              </w:rPr>
              <w:t xml:space="preserve"> and with</w:t>
            </w:r>
            <w:r w:rsidR="00E14DB8" w:rsidRPr="001D2C3C">
              <w:rPr>
                <w:rFonts w:ascii="Arial" w:eastAsia="MS Mincho" w:hAnsi="Arial" w:cs="Arial"/>
                <w:color w:val="000000" w:themeColor="text1"/>
                <w:szCs w:val="20"/>
                <w:lang w:val="en-US" w:eastAsia="ja-JP"/>
              </w:rPr>
              <w:t xml:space="preserve"> swift access to the GPIP treatment service</w:t>
            </w:r>
          </w:p>
          <w:p w:rsidR="005972A7" w:rsidRPr="001D2C3C" w:rsidRDefault="005972A7"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Provide signposting and/or referral to </w:t>
            </w:r>
            <w:r w:rsidR="0053579E" w:rsidRPr="001D2C3C">
              <w:rPr>
                <w:rFonts w:ascii="Arial" w:eastAsia="MS Mincho" w:hAnsi="Arial" w:cs="Arial"/>
                <w:color w:val="000000" w:themeColor="text1"/>
                <w:szCs w:val="20"/>
                <w:lang w:val="en-US" w:eastAsia="ja-JP"/>
              </w:rPr>
              <w:t xml:space="preserve">a full range of </w:t>
            </w:r>
            <w:r w:rsidRPr="001D2C3C">
              <w:rPr>
                <w:rFonts w:ascii="Arial" w:eastAsia="MS Mincho" w:hAnsi="Arial" w:cs="Arial"/>
                <w:color w:val="000000" w:themeColor="text1"/>
                <w:szCs w:val="20"/>
                <w:lang w:val="en-US" w:eastAsia="ja-JP"/>
              </w:rPr>
              <w:t>services</w:t>
            </w:r>
            <w:r w:rsidR="0053579E" w:rsidRPr="001D2C3C">
              <w:rPr>
                <w:rFonts w:ascii="Arial" w:eastAsia="MS Mincho" w:hAnsi="Arial" w:cs="Arial"/>
                <w:color w:val="000000" w:themeColor="text1"/>
                <w:szCs w:val="20"/>
                <w:lang w:val="en-US" w:eastAsia="ja-JP"/>
              </w:rPr>
              <w:t xml:space="preserve"> and agencies</w:t>
            </w:r>
            <w:r w:rsidRPr="001D2C3C">
              <w:rPr>
                <w:rFonts w:ascii="Arial" w:eastAsia="MS Mincho" w:hAnsi="Arial" w:cs="Arial"/>
                <w:color w:val="000000" w:themeColor="text1"/>
                <w:szCs w:val="20"/>
                <w:lang w:val="en-US" w:eastAsia="ja-JP"/>
              </w:rPr>
              <w:t xml:space="preserve"> as appropriate</w:t>
            </w:r>
            <w:r w:rsidR="0053579E" w:rsidRPr="001D2C3C">
              <w:rPr>
                <w:rFonts w:ascii="Arial" w:eastAsia="MS Mincho" w:hAnsi="Arial" w:cs="Arial"/>
                <w:color w:val="000000" w:themeColor="text1"/>
                <w:szCs w:val="20"/>
                <w:lang w:val="en-US" w:eastAsia="ja-JP"/>
              </w:rPr>
              <w:t xml:space="preserve"> to patients’ needs and choices</w:t>
            </w:r>
            <w:r w:rsidR="008B0CAB">
              <w:rPr>
                <w:rFonts w:ascii="Arial" w:eastAsia="MS Mincho" w:hAnsi="Arial" w:cs="Arial"/>
                <w:color w:val="000000" w:themeColor="text1"/>
                <w:szCs w:val="20"/>
                <w:lang w:val="en-US" w:eastAsia="ja-JP"/>
              </w:rPr>
              <w:t>, including options for accommodation, training and employability</w:t>
            </w:r>
          </w:p>
          <w:p w:rsidR="00935A43" w:rsidRPr="001D2C3C" w:rsidRDefault="00935A43"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Provide a full range of </w:t>
            </w:r>
            <w:proofErr w:type="spellStart"/>
            <w:r w:rsidR="00527154" w:rsidRPr="001D2C3C">
              <w:rPr>
                <w:rFonts w:ascii="Arial" w:eastAsia="MS Mincho" w:hAnsi="Arial" w:cs="Arial"/>
                <w:color w:val="000000" w:themeColor="text1"/>
                <w:szCs w:val="20"/>
                <w:lang w:val="en-US" w:eastAsia="ja-JP"/>
              </w:rPr>
              <w:t>prevention</w:t>
            </w:r>
            <w:r w:rsidR="00425395" w:rsidRPr="001D2C3C">
              <w:rPr>
                <w:rFonts w:ascii="Arial" w:eastAsia="MS Mincho" w:hAnsi="Arial" w:cs="Arial"/>
                <w:color w:val="000000" w:themeColor="text1"/>
                <w:szCs w:val="20"/>
                <w:lang w:val="en-US" w:eastAsia="ja-JP"/>
              </w:rPr>
              <w:t>al</w:t>
            </w:r>
            <w:proofErr w:type="spellEnd"/>
            <w:r w:rsidR="00BB62C3" w:rsidRPr="001D2C3C">
              <w:rPr>
                <w:rFonts w:ascii="Arial" w:eastAsia="MS Mincho" w:hAnsi="Arial" w:cs="Arial"/>
                <w:color w:val="000000" w:themeColor="text1"/>
                <w:szCs w:val="20"/>
                <w:lang w:val="en-US" w:eastAsia="ja-JP"/>
              </w:rPr>
              <w:t xml:space="preserve"> </w:t>
            </w:r>
            <w:r w:rsidR="00527154" w:rsidRPr="001D2C3C">
              <w:rPr>
                <w:rFonts w:ascii="Arial" w:eastAsia="MS Mincho" w:hAnsi="Arial" w:cs="Arial"/>
                <w:color w:val="000000" w:themeColor="text1"/>
                <w:szCs w:val="20"/>
                <w:lang w:val="en-US" w:eastAsia="ja-JP"/>
              </w:rPr>
              <w:t xml:space="preserve">and educational, </w:t>
            </w:r>
            <w:r w:rsidRPr="001D2C3C">
              <w:rPr>
                <w:rFonts w:ascii="Arial" w:eastAsia="MS Mincho" w:hAnsi="Arial" w:cs="Arial"/>
                <w:color w:val="000000" w:themeColor="text1"/>
                <w:szCs w:val="20"/>
                <w:lang w:val="en-US" w:eastAsia="ja-JP"/>
              </w:rPr>
              <w:t>harm reduction advice and information</w:t>
            </w:r>
          </w:p>
          <w:p w:rsidR="00935A43" w:rsidRDefault="00935A43"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To provide </w:t>
            </w:r>
            <w:r w:rsidR="00BB62C3" w:rsidRPr="001D2C3C">
              <w:rPr>
                <w:rFonts w:ascii="Arial" w:eastAsia="MS Mincho" w:hAnsi="Arial" w:cs="Arial"/>
                <w:color w:val="000000" w:themeColor="text1"/>
                <w:szCs w:val="20"/>
                <w:lang w:val="en-US" w:eastAsia="ja-JP"/>
              </w:rPr>
              <w:t xml:space="preserve">some </w:t>
            </w:r>
            <w:r w:rsidRPr="001D2C3C">
              <w:rPr>
                <w:rFonts w:ascii="Arial" w:eastAsia="MS Mincho" w:hAnsi="Arial" w:cs="Arial"/>
                <w:color w:val="000000" w:themeColor="text1"/>
                <w:szCs w:val="20"/>
                <w:lang w:val="en-US" w:eastAsia="ja-JP"/>
              </w:rPr>
              <w:t>flexibility for</w:t>
            </w:r>
            <w:r w:rsidR="00274AD9" w:rsidRPr="001D2C3C">
              <w:rPr>
                <w:rFonts w:ascii="Arial" w:eastAsia="MS Mincho" w:hAnsi="Arial" w:cs="Arial"/>
                <w:color w:val="000000" w:themeColor="text1"/>
                <w:szCs w:val="20"/>
                <w:lang w:val="en-US" w:eastAsia="ja-JP"/>
              </w:rPr>
              <w:t xml:space="preserve"> </w:t>
            </w:r>
            <w:proofErr w:type="spellStart"/>
            <w:r w:rsidRPr="001D2C3C">
              <w:rPr>
                <w:rFonts w:ascii="Arial" w:eastAsia="MS Mincho" w:hAnsi="Arial" w:cs="Arial"/>
                <w:color w:val="000000" w:themeColor="text1"/>
                <w:szCs w:val="20"/>
                <w:lang w:val="en-US" w:eastAsia="ja-JP"/>
              </w:rPr>
              <w:t>carer</w:t>
            </w:r>
            <w:r w:rsidR="00080E3A" w:rsidRPr="001D2C3C">
              <w:rPr>
                <w:rFonts w:ascii="Arial" w:eastAsia="MS Mincho" w:hAnsi="Arial" w:cs="Arial"/>
                <w:color w:val="000000" w:themeColor="text1"/>
                <w:szCs w:val="20"/>
                <w:lang w:val="en-US" w:eastAsia="ja-JP"/>
              </w:rPr>
              <w:t>s</w:t>
            </w:r>
            <w:proofErr w:type="spellEnd"/>
            <w:r w:rsidR="00527154" w:rsidRPr="001D2C3C">
              <w:rPr>
                <w:rFonts w:ascii="Arial" w:eastAsia="MS Mincho" w:hAnsi="Arial" w:cs="Arial"/>
                <w:color w:val="000000" w:themeColor="text1"/>
                <w:szCs w:val="20"/>
                <w:lang w:val="en-US" w:eastAsia="ja-JP"/>
              </w:rPr>
              <w:t xml:space="preserve"> </w:t>
            </w:r>
            <w:r w:rsidRPr="001D2C3C">
              <w:rPr>
                <w:rFonts w:ascii="Arial" w:eastAsia="MS Mincho" w:hAnsi="Arial" w:cs="Arial"/>
                <w:color w:val="000000" w:themeColor="text1"/>
                <w:szCs w:val="20"/>
                <w:lang w:val="en-US" w:eastAsia="ja-JP"/>
              </w:rPr>
              <w:t>of patients to attend appointments as appropriate</w:t>
            </w:r>
          </w:p>
          <w:p w:rsidR="002A0880" w:rsidRDefault="002A0880"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 xml:space="preserve">To actively support patient engagement into locality recovery networks, </w:t>
            </w:r>
            <w:r w:rsidR="008B0CAB">
              <w:rPr>
                <w:rFonts w:ascii="Arial" w:eastAsia="MS Mincho" w:hAnsi="Arial" w:cs="Arial"/>
                <w:color w:val="000000" w:themeColor="text1"/>
                <w:szCs w:val="20"/>
                <w:lang w:val="en-US" w:eastAsia="ja-JP"/>
              </w:rPr>
              <w:t>including peer support and mutual aid</w:t>
            </w:r>
          </w:p>
          <w:p w:rsidR="00CE64E7" w:rsidRDefault="00CE64E7" w:rsidP="00080E3A">
            <w:pPr>
              <w:pStyle w:val="ListParagraph"/>
              <w:numPr>
                <w:ilvl w:val="0"/>
                <w:numId w:val="4"/>
              </w:numPr>
              <w:tabs>
                <w:tab w:val="left" w:pos="601"/>
              </w:tabs>
              <w:spacing w:after="0"/>
              <w:ind w:left="601" w:hanging="567"/>
              <w:rPr>
                <w:rFonts w:ascii="Arial" w:eastAsia="MS Mincho" w:hAnsi="Arial" w:cs="Arial"/>
                <w:color w:val="000000" w:themeColor="text1"/>
                <w:szCs w:val="20"/>
                <w:lang w:val="en-US" w:eastAsia="ja-JP"/>
              </w:rPr>
            </w:pPr>
            <w:r>
              <w:rPr>
                <w:rFonts w:ascii="Arial" w:eastAsia="MS Mincho" w:hAnsi="Arial" w:cs="Arial"/>
                <w:color w:val="000000" w:themeColor="text1"/>
                <w:szCs w:val="20"/>
                <w:lang w:val="en-US" w:eastAsia="ja-JP"/>
              </w:rPr>
              <w:t xml:space="preserve">To provide </w:t>
            </w:r>
            <w:r w:rsidR="006932CE">
              <w:rPr>
                <w:rFonts w:ascii="Arial" w:eastAsia="MS Mincho" w:hAnsi="Arial" w:cs="Arial"/>
                <w:color w:val="000000" w:themeColor="text1"/>
                <w:szCs w:val="20"/>
                <w:lang w:val="en-US" w:eastAsia="ja-JP"/>
              </w:rPr>
              <w:t>flexibility</w:t>
            </w:r>
            <w:r>
              <w:rPr>
                <w:rFonts w:ascii="Arial" w:eastAsia="MS Mincho" w:hAnsi="Arial" w:cs="Arial"/>
                <w:color w:val="000000" w:themeColor="text1"/>
                <w:szCs w:val="20"/>
                <w:lang w:val="en-US" w:eastAsia="ja-JP"/>
              </w:rPr>
              <w:t xml:space="preserve"> within service to meet change within the substance misuse environment, legislation, or national and local strategies</w:t>
            </w:r>
          </w:p>
          <w:p w:rsidR="002A0880" w:rsidRPr="001D2C3C" w:rsidRDefault="002A0880" w:rsidP="002A0880">
            <w:pPr>
              <w:pStyle w:val="ListParagraph"/>
              <w:tabs>
                <w:tab w:val="left" w:pos="601"/>
              </w:tabs>
              <w:spacing w:after="0"/>
              <w:ind w:left="601"/>
              <w:rPr>
                <w:rFonts w:ascii="Arial" w:eastAsia="MS Mincho" w:hAnsi="Arial" w:cs="Arial"/>
                <w:color w:val="000000" w:themeColor="text1"/>
                <w:szCs w:val="20"/>
                <w:lang w:val="en-US" w:eastAsia="ja-JP"/>
              </w:rPr>
            </w:pPr>
          </w:p>
          <w:p w:rsidR="00EB717E" w:rsidRPr="001D2C3C" w:rsidRDefault="0053579E" w:rsidP="00EB717E">
            <w:pPr>
              <w:spacing w:after="0" w:line="240" w:lineRule="auto"/>
              <w:rPr>
                <w:rFonts w:ascii="Arial" w:eastAsia="MS Mincho" w:hAnsi="Arial" w:cs="Arial"/>
                <w:b/>
                <w:color w:val="000000" w:themeColor="text1"/>
                <w:szCs w:val="20"/>
                <w:lang w:val="en-US" w:eastAsia="ja-JP"/>
              </w:rPr>
            </w:pPr>
            <w:r w:rsidRPr="001D2C3C">
              <w:rPr>
                <w:rFonts w:ascii="Arial" w:eastAsia="MS Mincho" w:hAnsi="Arial" w:cs="Arial"/>
                <w:b/>
                <w:color w:val="000000" w:themeColor="text1"/>
                <w:szCs w:val="20"/>
                <w:lang w:val="en-US" w:eastAsia="ja-JP"/>
              </w:rPr>
              <w:t>3.2</w:t>
            </w:r>
            <w:r w:rsidRPr="001D2C3C">
              <w:rPr>
                <w:rFonts w:ascii="Arial" w:eastAsia="MS Mincho" w:hAnsi="Arial" w:cs="Arial"/>
                <w:b/>
                <w:color w:val="000000" w:themeColor="text1"/>
                <w:szCs w:val="20"/>
                <w:lang w:val="en-US" w:eastAsia="ja-JP"/>
              </w:rPr>
              <w:tab/>
              <w:t xml:space="preserve">Service description/care </w:t>
            </w:r>
            <w:r w:rsidR="00EB717E" w:rsidRPr="001D2C3C">
              <w:rPr>
                <w:rFonts w:ascii="Arial" w:eastAsia="MS Mincho" w:hAnsi="Arial" w:cs="Arial"/>
                <w:b/>
                <w:color w:val="000000" w:themeColor="text1"/>
                <w:szCs w:val="20"/>
                <w:lang w:val="en-US" w:eastAsia="ja-JP"/>
              </w:rPr>
              <w:t>pathway</w:t>
            </w:r>
          </w:p>
          <w:p w:rsidR="00EB717E" w:rsidRPr="001D2C3C" w:rsidRDefault="00EB717E" w:rsidP="00EB717E">
            <w:pPr>
              <w:spacing w:after="0" w:line="240" w:lineRule="auto"/>
              <w:rPr>
                <w:rFonts w:ascii="Arial" w:eastAsia="MS Mincho" w:hAnsi="Arial" w:cs="Arial"/>
                <w:color w:val="000000" w:themeColor="text1"/>
                <w:szCs w:val="20"/>
                <w:lang w:val="en-US" w:eastAsia="ja-JP"/>
              </w:rPr>
            </w:pPr>
          </w:p>
          <w:p w:rsidR="00E14DB8" w:rsidRPr="001D2C3C" w:rsidRDefault="00E14DB8"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The service will be based </w:t>
            </w:r>
            <w:r w:rsidR="00425395" w:rsidRPr="001D2C3C">
              <w:rPr>
                <w:rFonts w:ascii="Arial" w:eastAsia="MS Mincho" w:hAnsi="Arial" w:cs="Arial"/>
                <w:color w:val="000000" w:themeColor="text1"/>
                <w:szCs w:val="20"/>
                <w:lang w:val="en-US" w:eastAsia="ja-JP"/>
              </w:rPr>
              <w:t xml:space="preserve">on a stepped approach and </w:t>
            </w:r>
            <w:proofErr w:type="spellStart"/>
            <w:r w:rsidR="00425395" w:rsidRPr="001D2C3C">
              <w:rPr>
                <w:rFonts w:ascii="Arial" w:eastAsia="MS Mincho" w:hAnsi="Arial" w:cs="Arial"/>
                <w:color w:val="000000" w:themeColor="text1"/>
                <w:szCs w:val="20"/>
                <w:lang w:val="en-US" w:eastAsia="ja-JP"/>
              </w:rPr>
              <w:t>utilis</w:t>
            </w:r>
            <w:r w:rsidRPr="001D2C3C">
              <w:rPr>
                <w:rFonts w:ascii="Arial" w:eastAsia="MS Mincho" w:hAnsi="Arial" w:cs="Arial"/>
                <w:color w:val="000000" w:themeColor="text1"/>
                <w:szCs w:val="20"/>
                <w:lang w:val="en-US" w:eastAsia="ja-JP"/>
              </w:rPr>
              <w:t>e</w:t>
            </w:r>
            <w:proofErr w:type="spellEnd"/>
            <w:r w:rsidRPr="001D2C3C">
              <w:rPr>
                <w:rFonts w:ascii="Arial" w:eastAsia="MS Mincho" w:hAnsi="Arial" w:cs="Arial"/>
                <w:color w:val="000000" w:themeColor="text1"/>
                <w:szCs w:val="20"/>
                <w:lang w:val="en-US" w:eastAsia="ja-JP"/>
              </w:rPr>
              <w:t xml:space="preserve"> the most cost and clinically effective services, providing an integrated model of health and social care services to meet substitute prescribing and therapeutic one-to-one</w:t>
            </w:r>
            <w:r w:rsidR="00BB62C3" w:rsidRPr="001D2C3C">
              <w:rPr>
                <w:rFonts w:ascii="Arial" w:eastAsia="MS Mincho" w:hAnsi="Arial" w:cs="Arial"/>
                <w:color w:val="000000" w:themeColor="text1"/>
                <w:szCs w:val="20"/>
                <w:lang w:val="en-US" w:eastAsia="ja-JP"/>
              </w:rPr>
              <w:t xml:space="preserve"> psychosocial</w:t>
            </w:r>
            <w:r w:rsidR="0017180E" w:rsidRPr="001D2C3C">
              <w:rPr>
                <w:rFonts w:ascii="Arial" w:eastAsia="MS Mincho" w:hAnsi="Arial" w:cs="Arial"/>
                <w:color w:val="000000" w:themeColor="text1"/>
                <w:szCs w:val="20"/>
                <w:lang w:val="en-US" w:eastAsia="ja-JP"/>
              </w:rPr>
              <w:t xml:space="preserve"> interventions</w:t>
            </w:r>
            <w:r w:rsidR="00080E3A" w:rsidRPr="001D2C3C">
              <w:rPr>
                <w:rFonts w:ascii="Arial" w:eastAsia="MS Mincho" w:hAnsi="Arial" w:cs="Arial"/>
                <w:color w:val="000000" w:themeColor="text1"/>
                <w:szCs w:val="20"/>
                <w:lang w:val="en-US" w:eastAsia="ja-JP"/>
              </w:rPr>
              <w:t>.</w:t>
            </w:r>
          </w:p>
          <w:p w:rsidR="00E14DB8" w:rsidRPr="001D2C3C" w:rsidRDefault="00E14DB8" w:rsidP="00EB717E">
            <w:pPr>
              <w:spacing w:after="0" w:line="240" w:lineRule="auto"/>
              <w:rPr>
                <w:rFonts w:ascii="Arial" w:eastAsia="MS Mincho" w:hAnsi="Arial" w:cs="Arial"/>
                <w:color w:val="000000" w:themeColor="text1"/>
                <w:szCs w:val="20"/>
                <w:lang w:val="en-US" w:eastAsia="ja-JP"/>
              </w:rPr>
            </w:pPr>
          </w:p>
          <w:p w:rsidR="0017180E" w:rsidRPr="001D2C3C" w:rsidRDefault="00E14DB8"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Step 1:  To provide swift access to comprehensive assessment, risk assessment,</w:t>
            </w:r>
            <w:r w:rsidR="00F80C77" w:rsidRPr="001D2C3C">
              <w:rPr>
                <w:rFonts w:ascii="Arial" w:eastAsia="MS Mincho" w:hAnsi="Arial" w:cs="Arial"/>
                <w:color w:val="000000" w:themeColor="text1"/>
                <w:szCs w:val="20"/>
                <w:lang w:val="en-US" w:eastAsia="ja-JP"/>
              </w:rPr>
              <w:t xml:space="preserve"> goal-orientated</w:t>
            </w:r>
            <w:r w:rsidRPr="001D2C3C">
              <w:rPr>
                <w:rFonts w:ascii="Arial" w:eastAsia="MS Mincho" w:hAnsi="Arial" w:cs="Arial"/>
                <w:color w:val="000000" w:themeColor="text1"/>
                <w:szCs w:val="20"/>
                <w:lang w:val="en-US" w:eastAsia="ja-JP"/>
              </w:rPr>
              <w:t xml:space="preserve"> care planning, and substitute opioid prescribing interventions.  </w:t>
            </w:r>
            <w:r w:rsidR="00F80C77" w:rsidRPr="001D2C3C">
              <w:rPr>
                <w:rFonts w:ascii="Arial" w:eastAsia="MS Mincho" w:hAnsi="Arial" w:cs="Arial"/>
                <w:color w:val="000000" w:themeColor="text1"/>
                <w:szCs w:val="20"/>
                <w:lang w:val="en-US" w:eastAsia="ja-JP"/>
              </w:rPr>
              <w:t>Access can be gained through external and internal teams and agencies, practice receptionists, healthcare assistants, nurses, GPs, drug &amp; alcohol practitioners, the family support coordinator, and other allied healt</w:t>
            </w:r>
            <w:r w:rsidR="004254B6" w:rsidRPr="001D2C3C">
              <w:rPr>
                <w:rFonts w:ascii="Arial" w:eastAsia="MS Mincho" w:hAnsi="Arial" w:cs="Arial"/>
                <w:color w:val="000000" w:themeColor="text1"/>
                <w:szCs w:val="20"/>
                <w:lang w:val="en-US" w:eastAsia="ja-JP"/>
              </w:rPr>
              <w:t>h and social care professionals</w:t>
            </w:r>
            <w:r w:rsidR="0017180E" w:rsidRPr="001D2C3C">
              <w:rPr>
                <w:rFonts w:ascii="Arial" w:eastAsia="MS Mincho" w:hAnsi="Arial" w:cs="Arial"/>
                <w:color w:val="000000" w:themeColor="text1"/>
                <w:szCs w:val="20"/>
                <w:lang w:val="en-US" w:eastAsia="ja-JP"/>
              </w:rPr>
              <w:t xml:space="preserve">. </w:t>
            </w:r>
            <w:r w:rsidR="00425395" w:rsidRPr="001D2C3C">
              <w:rPr>
                <w:rFonts w:ascii="Arial" w:eastAsia="MS Mincho" w:hAnsi="Arial" w:cs="Arial"/>
                <w:color w:val="000000" w:themeColor="text1"/>
                <w:szCs w:val="20"/>
                <w:lang w:val="en-US" w:eastAsia="ja-JP"/>
              </w:rPr>
              <w:t>To t</w:t>
            </w:r>
            <w:r w:rsidR="004254B6" w:rsidRPr="001D2C3C">
              <w:rPr>
                <w:rFonts w:ascii="Arial" w:eastAsia="MS Mincho" w:hAnsi="Arial" w:cs="Arial"/>
                <w:color w:val="000000" w:themeColor="text1"/>
                <w:szCs w:val="20"/>
                <w:lang w:val="en-US" w:eastAsia="ja-JP"/>
              </w:rPr>
              <w:t>ransfer to and from secondary care services</w:t>
            </w:r>
            <w:r w:rsidR="008B3330" w:rsidRPr="001D2C3C">
              <w:rPr>
                <w:rFonts w:ascii="Arial" w:eastAsia="MS Mincho" w:hAnsi="Arial" w:cs="Arial"/>
                <w:color w:val="000000" w:themeColor="text1"/>
                <w:szCs w:val="20"/>
                <w:lang w:val="en-US" w:eastAsia="ja-JP"/>
              </w:rPr>
              <w:t xml:space="preserve">, </w:t>
            </w:r>
            <w:r w:rsidR="00425395" w:rsidRPr="001D2C3C">
              <w:rPr>
                <w:rFonts w:ascii="Arial" w:eastAsia="MS Mincho" w:hAnsi="Arial" w:cs="Arial"/>
                <w:color w:val="000000" w:themeColor="text1"/>
                <w:szCs w:val="20"/>
                <w:lang w:val="en-US" w:eastAsia="ja-JP"/>
              </w:rPr>
              <w:t xml:space="preserve">accept </w:t>
            </w:r>
            <w:r w:rsidR="008B3330" w:rsidRPr="001D2C3C">
              <w:rPr>
                <w:rFonts w:ascii="Arial" w:eastAsia="MS Mincho" w:hAnsi="Arial" w:cs="Arial"/>
                <w:color w:val="000000" w:themeColor="text1"/>
                <w:szCs w:val="20"/>
                <w:lang w:val="en-US" w:eastAsia="ja-JP"/>
              </w:rPr>
              <w:t>referral</w:t>
            </w:r>
            <w:r w:rsidR="00425395" w:rsidRPr="001D2C3C">
              <w:rPr>
                <w:rFonts w:ascii="Arial" w:eastAsia="MS Mincho" w:hAnsi="Arial" w:cs="Arial"/>
                <w:color w:val="000000" w:themeColor="text1"/>
                <w:szCs w:val="20"/>
                <w:lang w:val="en-US" w:eastAsia="ja-JP"/>
              </w:rPr>
              <w:t>s</w:t>
            </w:r>
            <w:r w:rsidR="008B3330" w:rsidRPr="001D2C3C">
              <w:rPr>
                <w:rFonts w:ascii="Arial" w:eastAsia="MS Mincho" w:hAnsi="Arial" w:cs="Arial"/>
                <w:color w:val="000000" w:themeColor="text1"/>
                <w:szCs w:val="20"/>
                <w:lang w:val="en-US" w:eastAsia="ja-JP"/>
              </w:rPr>
              <w:t xml:space="preserve"> from criminal justice services such as probation and on release from prison</w:t>
            </w:r>
            <w:r w:rsidR="004254B6" w:rsidRPr="001D2C3C">
              <w:rPr>
                <w:rFonts w:ascii="Arial" w:eastAsia="MS Mincho" w:hAnsi="Arial" w:cs="Arial"/>
                <w:color w:val="000000" w:themeColor="text1"/>
                <w:szCs w:val="20"/>
                <w:lang w:val="en-US" w:eastAsia="ja-JP"/>
              </w:rPr>
              <w:t>.</w:t>
            </w:r>
            <w:r w:rsidR="001B7E5F" w:rsidRPr="001D2C3C">
              <w:rPr>
                <w:rFonts w:ascii="Arial" w:eastAsia="MS Mincho" w:hAnsi="Arial" w:cs="Arial"/>
                <w:color w:val="000000" w:themeColor="text1"/>
                <w:szCs w:val="20"/>
                <w:lang w:val="en-US" w:eastAsia="ja-JP"/>
              </w:rPr>
              <w:t xml:space="preserve">  </w:t>
            </w:r>
            <w:r w:rsidR="0017180E" w:rsidRPr="001D2C3C">
              <w:rPr>
                <w:rFonts w:ascii="Arial" w:eastAsia="MS Mincho" w:hAnsi="Arial" w:cs="Arial"/>
                <w:color w:val="000000" w:themeColor="text1"/>
                <w:szCs w:val="20"/>
                <w:lang w:val="en-US" w:eastAsia="ja-JP"/>
              </w:rPr>
              <w:t>To provide a</w:t>
            </w:r>
            <w:r w:rsidR="001B7E5F" w:rsidRPr="001D2C3C">
              <w:rPr>
                <w:rFonts w:ascii="Arial" w:eastAsia="MS Mincho" w:hAnsi="Arial" w:cs="Arial"/>
                <w:color w:val="000000" w:themeColor="text1"/>
                <w:szCs w:val="20"/>
                <w:lang w:val="en-US" w:eastAsia="ja-JP"/>
              </w:rPr>
              <w:t>fter care</w:t>
            </w:r>
            <w:r w:rsidR="0017180E" w:rsidRPr="001D2C3C">
              <w:rPr>
                <w:rFonts w:ascii="Arial" w:eastAsia="MS Mincho" w:hAnsi="Arial" w:cs="Arial"/>
                <w:color w:val="000000" w:themeColor="text1"/>
                <w:szCs w:val="20"/>
                <w:lang w:val="en-US" w:eastAsia="ja-JP"/>
              </w:rPr>
              <w:t>, enabling support post discharge and swift acce</w:t>
            </w:r>
            <w:r w:rsidR="00261DEA" w:rsidRPr="001D2C3C">
              <w:rPr>
                <w:rFonts w:ascii="Arial" w:eastAsia="MS Mincho" w:hAnsi="Arial" w:cs="Arial"/>
                <w:color w:val="000000" w:themeColor="text1"/>
                <w:szCs w:val="20"/>
                <w:lang w:val="en-US" w:eastAsia="ja-JP"/>
              </w:rPr>
              <w:t>ss back to treatment in the event</w:t>
            </w:r>
            <w:r w:rsidR="0017180E" w:rsidRPr="001D2C3C">
              <w:rPr>
                <w:rFonts w:ascii="Arial" w:eastAsia="MS Mincho" w:hAnsi="Arial" w:cs="Arial"/>
                <w:color w:val="000000" w:themeColor="text1"/>
                <w:szCs w:val="20"/>
                <w:lang w:val="en-US" w:eastAsia="ja-JP"/>
              </w:rPr>
              <w:t xml:space="preserve"> of lapse or relapse</w:t>
            </w:r>
            <w:r w:rsidR="00080E3A" w:rsidRPr="001D2C3C">
              <w:rPr>
                <w:rFonts w:ascii="Arial" w:eastAsia="MS Mincho" w:hAnsi="Arial" w:cs="Arial"/>
                <w:color w:val="000000" w:themeColor="text1"/>
                <w:szCs w:val="20"/>
                <w:lang w:val="en-US" w:eastAsia="ja-JP"/>
              </w:rPr>
              <w:t>.</w:t>
            </w:r>
            <w:r w:rsidRPr="001D2C3C">
              <w:rPr>
                <w:rFonts w:ascii="Arial" w:eastAsia="MS Mincho" w:hAnsi="Arial" w:cs="Arial"/>
                <w:color w:val="000000" w:themeColor="text1"/>
                <w:szCs w:val="20"/>
                <w:lang w:val="en-US" w:eastAsia="ja-JP"/>
              </w:rPr>
              <w:br/>
            </w:r>
          </w:p>
          <w:p w:rsidR="0042311E" w:rsidRPr="001D2C3C" w:rsidRDefault="0042311E"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Step 2:  To provide swift access to</w:t>
            </w:r>
            <w:r w:rsidR="001B7E5F" w:rsidRPr="001D2C3C">
              <w:rPr>
                <w:rFonts w:ascii="Arial" w:eastAsia="MS Mincho" w:hAnsi="Arial" w:cs="Arial"/>
                <w:color w:val="000000" w:themeColor="text1"/>
                <w:szCs w:val="20"/>
                <w:lang w:val="en-US" w:eastAsia="ja-JP"/>
              </w:rPr>
              <w:t xml:space="preserve"> and provision of</w:t>
            </w:r>
            <w:r w:rsidRPr="001D2C3C">
              <w:rPr>
                <w:rFonts w:ascii="Arial" w:eastAsia="MS Mincho" w:hAnsi="Arial" w:cs="Arial"/>
                <w:color w:val="000000" w:themeColor="text1"/>
                <w:szCs w:val="20"/>
                <w:lang w:val="en-US" w:eastAsia="ja-JP"/>
              </w:rPr>
              <w:t xml:space="preserve"> GP substitute </w:t>
            </w:r>
            <w:r w:rsidR="004254B6" w:rsidRPr="001D2C3C">
              <w:rPr>
                <w:rFonts w:ascii="Arial" w:eastAsia="MS Mincho" w:hAnsi="Arial" w:cs="Arial"/>
                <w:color w:val="000000" w:themeColor="text1"/>
                <w:szCs w:val="20"/>
                <w:lang w:val="en-US" w:eastAsia="ja-JP"/>
              </w:rPr>
              <w:t>opioid medication treatment plans</w:t>
            </w:r>
            <w:r w:rsidR="0017180E" w:rsidRPr="001D2C3C">
              <w:rPr>
                <w:rFonts w:ascii="Arial" w:eastAsia="MS Mincho" w:hAnsi="Arial" w:cs="Arial"/>
                <w:color w:val="000000" w:themeColor="text1"/>
                <w:szCs w:val="20"/>
                <w:lang w:val="en-US" w:eastAsia="ja-JP"/>
              </w:rPr>
              <w:t xml:space="preserve"> and re</w:t>
            </w:r>
            <w:r w:rsidR="00B07A9B" w:rsidRPr="001D2C3C">
              <w:rPr>
                <w:rFonts w:ascii="Arial" w:eastAsia="MS Mincho" w:hAnsi="Arial" w:cs="Arial"/>
                <w:color w:val="000000" w:themeColor="text1"/>
                <w:szCs w:val="20"/>
                <w:lang w:val="en-US" w:eastAsia="ja-JP"/>
              </w:rPr>
              <w:t>gular treatment reviews with</w:t>
            </w:r>
            <w:r w:rsidR="0017180E" w:rsidRPr="001D2C3C">
              <w:rPr>
                <w:rFonts w:ascii="Arial" w:eastAsia="MS Mincho" w:hAnsi="Arial" w:cs="Arial"/>
                <w:color w:val="000000" w:themeColor="text1"/>
                <w:szCs w:val="20"/>
                <w:lang w:val="en-US" w:eastAsia="ja-JP"/>
              </w:rPr>
              <w:t xml:space="preserve"> prescribing GP</w:t>
            </w:r>
            <w:r w:rsidR="00B07A9B" w:rsidRPr="001D2C3C">
              <w:rPr>
                <w:rFonts w:ascii="Arial" w:eastAsia="MS Mincho" w:hAnsi="Arial" w:cs="Arial"/>
                <w:color w:val="000000" w:themeColor="text1"/>
                <w:szCs w:val="20"/>
                <w:lang w:val="en-US" w:eastAsia="ja-JP"/>
              </w:rPr>
              <w:t>s</w:t>
            </w:r>
            <w:r w:rsidR="00080E3A" w:rsidRPr="001D2C3C">
              <w:rPr>
                <w:rFonts w:ascii="Arial" w:eastAsia="MS Mincho" w:hAnsi="Arial" w:cs="Arial"/>
                <w:color w:val="000000" w:themeColor="text1"/>
                <w:szCs w:val="20"/>
                <w:lang w:val="en-US" w:eastAsia="ja-JP"/>
              </w:rPr>
              <w:t>.</w:t>
            </w:r>
          </w:p>
          <w:p w:rsidR="0042311E" w:rsidRPr="001D2C3C" w:rsidRDefault="0042311E" w:rsidP="00EB717E">
            <w:pPr>
              <w:spacing w:after="0" w:line="240" w:lineRule="auto"/>
              <w:rPr>
                <w:rFonts w:ascii="Arial" w:eastAsia="MS Mincho" w:hAnsi="Arial" w:cs="Arial"/>
                <w:color w:val="000000" w:themeColor="text1"/>
                <w:szCs w:val="20"/>
                <w:lang w:val="en-US" w:eastAsia="ja-JP"/>
              </w:rPr>
            </w:pPr>
          </w:p>
          <w:p w:rsidR="00F80C77" w:rsidRPr="001D2C3C" w:rsidRDefault="0042311E"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Step 3:  To offer nurse health-checks,</w:t>
            </w:r>
            <w:r w:rsidR="004254B6" w:rsidRPr="001D2C3C">
              <w:rPr>
                <w:rFonts w:ascii="Arial" w:eastAsia="MS Mincho" w:hAnsi="Arial" w:cs="Arial"/>
                <w:color w:val="000000" w:themeColor="text1"/>
                <w:szCs w:val="20"/>
                <w:lang w:val="en-US" w:eastAsia="ja-JP"/>
              </w:rPr>
              <w:t xml:space="preserve"> urine screening,</w:t>
            </w:r>
            <w:r w:rsidR="00B07A9B" w:rsidRPr="001D2C3C">
              <w:rPr>
                <w:rFonts w:ascii="Arial" w:eastAsia="MS Mincho" w:hAnsi="Arial" w:cs="Arial"/>
                <w:color w:val="000000" w:themeColor="text1"/>
                <w:szCs w:val="20"/>
                <w:lang w:val="en-US" w:eastAsia="ja-JP"/>
              </w:rPr>
              <w:t xml:space="preserve"> H</w:t>
            </w:r>
            <w:r w:rsidRPr="001D2C3C">
              <w:rPr>
                <w:rFonts w:ascii="Arial" w:eastAsia="MS Mincho" w:hAnsi="Arial" w:cs="Arial"/>
                <w:color w:val="000000" w:themeColor="text1"/>
                <w:szCs w:val="20"/>
                <w:lang w:val="en-US" w:eastAsia="ja-JP"/>
              </w:rPr>
              <w:t>e</w:t>
            </w:r>
            <w:r w:rsidR="00B07A9B" w:rsidRPr="001D2C3C">
              <w:rPr>
                <w:rFonts w:ascii="Arial" w:eastAsia="MS Mincho" w:hAnsi="Arial" w:cs="Arial"/>
                <w:color w:val="000000" w:themeColor="text1"/>
                <w:szCs w:val="20"/>
                <w:lang w:val="en-US" w:eastAsia="ja-JP"/>
              </w:rPr>
              <w:t xml:space="preserve">patitis A and B </w:t>
            </w:r>
            <w:proofErr w:type="spellStart"/>
            <w:r w:rsidR="00B07A9B" w:rsidRPr="001D2C3C">
              <w:rPr>
                <w:rFonts w:ascii="Arial" w:eastAsia="MS Mincho" w:hAnsi="Arial" w:cs="Arial"/>
                <w:color w:val="000000" w:themeColor="text1"/>
                <w:szCs w:val="20"/>
                <w:lang w:val="en-US" w:eastAsia="ja-JP"/>
              </w:rPr>
              <w:t>immunisations</w:t>
            </w:r>
            <w:proofErr w:type="spellEnd"/>
            <w:r w:rsidR="00B07A9B" w:rsidRPr="001D2C3C">
              <w:rPr>
                <w:rFonts w:ascii="Arial" w:eastAsia="MS Mincho" w:hAnsi="Arial" w:cs="Arial"/>
                <w:color w:val="000000" w:themeColor="text1"/>
                <w:szCs w:val="20"/>
                <w:lang w:val="en-US" w:eastAsia="ja-JP"/>
              </w:rPr>
              <w:t>, H</w:t>
            </w:r>
            <w:r w:rsidRPr="001D2C3C">
              <w:rPr>
                <w:rFonts w:ascii="Arial" w:eastAsia="MS Mincho" w:hAnsi="Arial" w:cs="Arial"/>
                <w:color w:val="000000" w:themeColor="text1"/>
                <w:szCs w:val="20"/>
                <w:lang w:val="en-US" w:eastAsia="ja-JP"/>
              </w:rPr>
              <w:t>epatitis C screening and ref</w:t>
            </w:r>
            <w:r w:rsidR="001B7E5F" w:rsidRPr="001D2C3C">
              <w:rPr>
                <w:rFonts w:ascii="Arial" w:eastAsia="MS Mincho" w:hAnsi="Arial" w:cs="Arial"/>
                <w:color w:val="000000" w:themeColor="text1"/>
                <w:szCs w:val="20"/>
                <w:lang w:val="en-US" w:eastAsia="ja-JP"/>
              </w:rPr>
              <w:t>erral</w:t>
            </w:r>
            <w:r w:rsidR="00A513E5" w:rsidRPr="001D2C3C">
              <w:rPr>
                <w:rFonts w:ascii="Arial" w:eastAsia="MS Mincho" w:hAnsi="Arial" w:cs="Arial"/>
                <w:color w:val="000000" w:themeColor="text1"/>
                <w:szCs w:val="20"/>
                <w:lang w:val="en-US" w:eastAsia="ja-JP"/>
              </w:rPr>
              <w:t>.  Provision of dry blood spot testing for difficult to bleed patients (dependent on availability of dry spot testing kits from pathology at DPOW)</w:t>
            </w:r>
            <w:r w:rsidR="00080E3A" w:rsidRPr="001D2C3C">
              <w:rPr>
                <w:rFonts w:ascii="Arial" w:eastAsia="MS Mincho" w:hAnsi="Arial" w:cs="Arial"/>
                <w:color w:val="000000" w:themeColor="text1"/>
                <w:szCs w:val="20"/>
                <w:lang w:val="en-US" w:eastAsia="ja-JP"/>
              </w:rPr>
              <w:t>.</w:t>
            </w:r>
          </w:p>
          <w:p w:rsidR="00F80C77" w:rsidRPr="001D2C3C" w:rsidRDefault="00F80C77" w:rsidP="00EB717E">
            <w:pPr>
              <w:spacing w:after="0" w:line="240" w:lineRule="auto"/>
              <w:rPr>
                <w:rFonts w:ascii="Arial" w:eastAsia="MS Mincho" w:hAnsi="Arial" w:cs="Arial"/>
                <w:color w:val="000000" w:themeColor="text1"/>
                <w:szCs w:val="20"/>
                <w:lang w:val="en-US" w:eastAsia="ja-JP"/>
              </w:rPr>
            </w:pPr>
          </w:p>
          <w:p w:rsidR="00E14DB8" w:rsidRPr="001D2C3C" w:rsidRDefault="0042311E"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Step 4</w:t>
            </w:r>
            <w:r w:rsidR="00E14DB8" w:rsidRPr="001D2C3C">
              <w:rPr>
                <w:rFonts w:ascii="Arial" w:eastAsia="MS Mincho" w:hAnsi="Arial" w:cs="Arial"/>
                <w:color w:val="000000" w:themeColor="text1"/>
                <w:szCs w:val="20"/>
                <w:lang w:val="en-US" w:eastAsia="ja-JP"/>
              </w:rPr>
              <w:t xml:space="preserve">:  To provide </w:t>
            </w:r>
            <w:r w:rsidRPr="001D2C3C">
              <w:rPr>
                <w:rFonts w:ascii="Arial" w:eastAsia="MS Mincho" w:hAnsi="Arial" w:cs="Arial"/>
                <w:color w:val="000000" w:themeColor="text1"/>
                <w:szCs w:val="20"/>
                <w:lang w:val="en-US" w:eastAsia="ja-JP"/>
              </w:rPr>
              <w:t xml:space="preserve">initial and ongoing </w:t>
            </w:r>
            <w:r w:rsidR="00E14DB8" w:rsidRPr="001D2C3C">
              <w:rPr>
                <w:rFonts w:ascii="Arial" w:eastAsia="MS Mincho" w:hAnsi="Arial" w:cs="Arial"/>
                <w:color w:val="000000" w:themeColor="text1"/>
                <w:szCs w:val="20"/>
                <w:lang w:val="en-US" w:eastAsia="ja-JP"/>
              </w:rPr>
              <w:t>support of the family support coordinator</w:t>
            </w:r>
            <w:r w:rsidRPr="001D2C3C">
              <w:rPr>
                <w:rFonts w:ascii="Arial" w:eastAsia="MS Mincho" w:hAnsi="Arial" w:cs="Arial"/>
                <w:color w:val="000000" w:themeColor="text1"/>
                <w:szCs w:val="20"/>
                <w:lang w:val="en-US" w:eastAsia="ja-JP"/>
              </w:rPr>
              <w:t xml:space="preserve"> for vulnerable adults and families to address the needs of parents and children, provide</w:t>
            </w:r>
            <w:r w:rsidR="00A513E5" w:rsidRPr="001D2C3C">
              <w:rPr>
                <w:rFonts w:ascii="Arial" w:eastAsia="MS Mincho" w:hAnsi="Arial" w:cs="Arial"/>
                <w:color w:val="000000" w:themeColor="text1"/>
                <w:szCs w:val="20"/>
                <w:lang w:val="en-US" w:eastAsia="ja-JP"/>
              </w:rPr>
              <w:t xml:space="preserve"> </w:t>
            </w:r>
            <w:proofErr w:type="spellStart"/>
            <w:r w:rsidR="00261DEA" w:rsidRPr="001D2C3C">
              <w:rPr>
                <w:rFonts w:ascii="Arial" w:eastAsia="MS Mincho" w:hAnsi="Arial" w:cs="Arial"/>
                <w:color w:val="000000" w:themeColor="text1"/>
                <w:szCs w:val="20"/>
                <w:lang w:val="en-US" w:eastAsia="ja-JP"/>
              </w:rPr>
              <w:t>prevention</w:t>
            </w:r>
            <w:r w:rsidR="00425395" w:rsidRPr="001D2C3C">
              <w:rPr>
                <w:rFonts w:ascii="Arial" w:eastAsia="MS Mincho" w:hAnsi="Arial" w:cs="Arial"/>
                <w:color w:val="000000" w:themeColor="text1"/>
                <w:szCs w:val="20"/>
                <w:lang w:val="en-US" w:eastAsia="ja-JP"/>
              </w:rPr>
              <w:t>al</w:t>
            </w:r>
            <w:proofErr w:type="spellEnd"/>
            <w:r w:rsidR="00527154" w:rsidRPr="001D2C3C">
              <w:rPr>
                <w:rFonts w:ascii="Arial" w:eastAsia="MS Mincho" w:hAnsi="Arial" w:cs="Arial"/>
                <w:color w:val="000000" w:themeColor="text1"/>
                <w:szCs w:val="20"/>
                <w:lang w:val="en-US" w:eastAsia="ja-JP"/>
              </w:rPr>
              <w:t>, educational</w:t>
            </w:r>
            <w:r w:rsidR="00261DEA" w:rsidRPr="001D2C3C">
              <w:rPr>
                <w:rFonts w:ascii="Arial" w:eastAsia="MS Mincho" w:hAnsi="Arial" w:cs="Arial"/>
                <w:color w:val="000000" w:themeColor="text1"/>
                <w:szCs w:val="20"/>
                <w:lang w:val="en-US" w:eastAsia="ja-JP"/>
              </w:rPr>
              <w:t xml:space="preserve"> and </w:t>
            </w:r>
            <w:proofErr w:type="gramStart"/>
            <w:r w:rsidRPr="001D2C3C">
              <w:rPr>
                <w:rFonts w:ascii="Arial" w:eastAsia="MS Mincho" w:hAnsi="Arial" w:cs="Arial"/>
                <w:color w:val="000000" w:themeColor="text1"/>
                <w:szCs w:val="20"/>
                <w:lang w:val="en-US" w:eastAsia="ja-JP"/>
              </w:rPr>
              <w:t>harm</w:t>
            </w:r>
            <w:r w:rsidR="00A513E5" w:rsidRPr="001D2C3C">
              <w:rPr>
                <w:rFonts w:ascii="Arial" w:eastAsia="MS Mincho" w:hAnsi="Arial" w:cs="Arial"/>
                <w:color w:val="000000" w:themeColor="text1"/>
                <w:szCs w:val="20"/>
                <w:lang w:val="en-US" w:eastAsia="ja-JP"/>
              </w:rPr>
              <w:t xml:space="preserve"> </w:t>
            </w:r>
            <w:r w:rsidRPr="001D2C3C">
              <w:rPr>
                <w:rFonts w:ascii="Arial" w:eastAsia="MS Mincho" w:hAnsi="Arial" w:cs="Arial"/>
                <w:color w:val="000000" w:themeColor="text1"/>
                <w:szCs w:val="20"/>
                <w:lang w:val="en-US" w:eastAsia="ja-JP"/>
              </w:rPr>
              <w:t xml:space="preserve"> reduction</w:t>
            </w:r>
            <w:proofErr w:type="gramEnd"/>
            <w:r w:rsidRPr="001D2C3C">
              <w:rPr>
                <w:rFonts w:ascii="Arial" w:eastAsia="MS Mincho" w:hAnsi="Arial" w:cs="Arial"/>
                <w:color w:val="000000" w:themeColor="text1"/>
                <w:szCs w:val="20"/>
                <w:lang w:val="en-US" w:eastAsia="ja-JP"/>
              </w:rPr>
              <w:t xml:space="preserve"> interventions, referral to safeguarding agencies </w:t>
            </w:r>
            <w:r w:rsidR="00261DEA" w:rsidRPr="001D2C3C">
              <w:rPr>
                <w:rFonts w:ascii="Arial" w:eastAsia="MS Mincho" w:hAnsi="Arial" w:cs="Arial"/>
                <w:color w:val="000000" w:themeColor="text1"/>
                <w:szCs w:val="20"/>
                <w:lang w:val="en-US" w:eastAsia="ja-JP"/>
              </w:rPr>
              <w:t>with</w:t>
            </w:r>
            <w:r w:rsidRPr="001D2C3C">
              <w:rPr>
                <w:rFonts w:ascii="Arial" w:eastAsia="MS Mincho" w:hAnsi="Arial" w:cs="Arial"/>
                <w:color w:val="000000" w:themeColor="text1"/>
                <w:szCs w:val="20"/>
                <w:lang w:val="en-US" w:eastAsia="ja-JP"/>
              </w:rPr>
              <w:t xml:space="preserve"> the appropriate sharing of information, to assist people getting into </w:t>
            </w:r>
            <w:r w:rsidRPr="001D2C3C">
              <w:rPr>
                <w:rFonts w:ascii="Arial" w:eastAsia="MS Mincho" w:hAnsi="Arial" w:cs="Arial"/>
                <w:color w:val="000000" w:themeColor="text1"/>
                <w:szCs w:val="20"/>
                <w:lang w:val="en-US" w:eastAsia="ja-JP"/>
              </w:rPr>
              <w:lastRenderedPageBreak/>
              <w:t>treatment and encourage care givers of children to access healthcare for themselves</w:t>
            </w:r>
            <w:r w:rsidR="00A513E5" w:rsidRPr="001D2C3C">
              <w:rPr>
                <w:rFonts w:ascii="Arial" w:eastAsia="MS Mincho" w:hAnsi="Arial" w:cs="Arial"/>
                <w:color w:val="000000" w:themeColor="text1"/>
                <w:szCs w:val="20"/>
                <w:lang w:val="en-US" w:eastAsia="ja-JP"/>
              </w:rPr>
              <w:t>, their families</w:t>
            </w:r>
            <w:r w:rsidRPr="001D2C3C">
              <w:rPr>
                <w:rFonts w:ascii="Arial" w:eastAsia="MS Mincho" w:hAnsi="Arial" w:cs="Arial"/>
                <w:color w:val="000000" w:themeColor="text1"/>
                <w:szCs w:val="20"/>
                <w:lang w:val="en-US" w:eastAsia="ja-JP"/>
              </w:rPr>
              <w:t xml:space="preserve"> and their children.  To provide signposting and referrals to family-friendly agencies and support parents through safeguarding legal processes. </w:t>
            </w:r>
            <w:r w:rsidR="00261DEA" w:rsidRPr="001D2C3C">
              <w:rPr>
                <w:rFonts w:ascii="Arial" w:eastAsia="MS Mincho" w:hAnsi="Arial" w:cs="Arial"/>
                <w:color w:val="000000" w:themeColor="text1"/>
                <w:szCs w:val="20"/>
                <w:lang w:val="en-US" w:eastAsia="ja-JP"/>
              </w:rPr>
              <w:t>In line with attached pathways, for example</w:t>
            </w:r>
            <w:r w:rsidR="00A513E5" w:rsidRPr="001D2C3C">
              <w:rPr>
                <w:rFonts w:ascii="Arial" w:eastAsia="MS Mincho" w:hAnsi="Arial" w:cs="Arial"/>
                <w:color w:val="000000" w:themeColor="text1"/>
                <w:szCs w:val="20"/>
                <w:lang w:val="en-US" w:eastAsia="ja-JP"/>
              </w:rPr>
              <w:t xml:space="preserve"> </w:t>
            </w:r>
            <w:r w:rsidR="00425395" w:rsidRPr="001D2C3C">
              <w:rPr>
                <w:rFonts w:ascii="Arial" w:eastAsia="MS Mincho" w:hAnsi="Arial" w:cs="Arial"/>
                <w:color w:val="000000" w:themeColor="text1"/>
                <w:szCs w:val="20"/>
                <w:lang w:val="en-US" w:eastAsia="ja-JP"/>
              </w:rPr>
              <w:t xml:space="preserve">but not exhaustive, </w:t>
            </w:r>
            <w:r w:rsidR="00A513E5" w:rsidRPr="001D2C3C">
              <w:rPr>
                <w:rFonts w:ascii="Arial" w:eastAsia="MS Mincho" w:hAnsi="Arial" w:cs="Arial"/>
                <w:color w:val="000000" w:themeColor="text1"/>
                <w:szCs w:val="20"/>
                <w:lang w:val="en-US" w:eastAsia="ja-JP"/>
              </w:rPr>
              <w:t>antenatal</w:t>
            </w:r>
            <w:r w:rsidR="00425395" w:rsidRPr="001D2C3C">
              <w:rPr>
                <w:rFonts w:ascii="Arial" w:eastAsia="MS Mincho" w:hAnsi="Arial" w:cs="Arial"/>
                <w:color w:val="000000" w:themeColor="text1"/>
                <w:szCs w:val="20"/>
                <w:lang w:val="en-US" w:eastAsia="ja-JP"/>
              </w:rPr>
              <w:t xml:space="preserve"> </w:t>
            </w:r>
            <w:r w:rsidR="00A513E5" w:rsidRPr="001D2C3C">
              <w:rPr>
                <w:rFonts w:ascii="Arial" w:eastAsia="MS Mincho" w:hAnsi="Arial" w:cs="Arial"/>
                <w:color w:val="000000" w:themeColor="text1"/>
                <w:szCs w:val="20"/>
                <w:lang w:val="en-US" w:eastAsia="ja-JP"/>
              </w:rPr>
              <w:t>care</w:t>
            </w:r>
            <w:r w:rsidR="00080E3A" w:rsidRPr="001D2C3C">
              <w:rPr>
                <w:rFonts w:ascii="Arial" w:eastAsia="MS Mincho" w:hAnsi="Arial" w:cs="Arial"/>
                <w:color w:val="000000" w:themeColor="text1"/>
                <w:szCs w:val="20"/>
                <w:lang w:val="en-US" w:eastAsia="ja-JP"/>
              </w:rPr>
              <w:t>.</w:t>
            </w:r>
          </w:p>
          <w:p w:rsidR="00F80C77" w:rsidRPr="001D2C3C" w:rsidRDefault="00F80C77" w:rsidP="00EB717E">
            <w:pPr>
              <w:spacing w:after="0" w:line="240" w:lineRule="auto"/>
              <w:rPr>
                <w:rFonts w:ascii="Arial" w:eastAsia="MS Mincho" w:hAnsi="Arial" w:cs="Arial"/>
                <w:color w:val="000000" w:themeColor="text1"/>
                <w:szCs w:val="20"/>
                <w:lang w:val="en-US" w:eastAsia="ja-JP"/>
              </w:rPr>
            </w:pPr>
          </w:p>
          <w:p w:rsidR="004254B6" w:rsidRPr="001D2C3C" w:rsidRDefault="004254B6"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Step 5:  To provide signposting and referral to an array of external agencies and services, for example</w:t>
            </w:r>
            <w:r w:rsidR="00261DEA" w:rsidRPr="001D2C3C">
              <w:rPr>
                <w:rFonts w:ascii="Arial" w:eastAsia="MS Mincho" w:hAnsi="Arial" w:cs="Arial"/>
                <w:color w:val="000000" w:themeColor="text1"/>
                <w:szCs w:val="20"/>
                <w:lang w:val="en-US" w:eastAsia="ja-JP"/>
              </w:rPr>
              <w:t xml:space="preserve"> but not ex</w:t>
            </w:r>
            <w:r w:rsidR="00527154" w:rsidRPr="001D2C3C">
              <w:rPr>
                <w:rFonts w:ascii="Arial" w:eastAsia="MS Mincho" w:hAnsi="Arial" w:cs="Arial"/>
                <w:color w:val="000000" w:themeColor="text1"/>
                <w:szCs w:val="20"/>
                <w:lang w:val="en-US" w:eastAsia="ja-JP"/>
              </w:rPr>
              <w:t>h</w:t>
            </w:r>
            <w:r w:rsidR="00261DEA" w:rsidRPr="001D2C3C">
              <w:rPr>
                <w:rFonts w:ascii="Arial" w:eastAsia="MS Mincho" w:hAnsi="Arial" w:cs="Arial"/>
                <w:color w:val="000000" w:themeColor="text1"/>
                <w:szCs w:val="20"/>
                <w:lang w:val="en-US" w:eastAsia="ja-JP"/>
              </w:rPr>
              <w:t>austive</w:t>
            </w:r>
            <w:r w:rsidRPr="001D2C3C">
              <w:rPr>
                <w:rFonts w:ascii="Arial" w:eastAsia="MS Mincho" w:hAnsi="Arial" w:cs="Arial"/>
                <w:color w:val="000000" w:themeColor="text1"/>
                <w:szCs w:val="20"/>
                <w:lang w:val="en-US" w:eastAsia="ja-JP"/>
              </w:rPr>
              <w:t xml:space="preserve">, benefits, training and education, voluntary and paid employment opportunities, housing providers, debt management, day and </w:t>
            </w:r>
            <w:proofErr w:type="spellStart"/>
            <w:r w:rsidRPr="001D2C3C">
              <w:rPr>
                <w:rFonts w:ascii="Arial" w:eastAsia="MS Mincho" w:hAnsi="Arial" w:cs="Arial"/>
                <w:color w:val="000000" w:themeColor="text1"/>
                <w:szCs w:val="20"/>
                <w:lang w:val="en-US" w:eastAsia="ja-JP"/>
              </w:rPr>
              <w:t>carers’</w:t>
            </w:r>
            <w:proofErr w:type="spellEnd"/>
            <w:r w:rsidR="00DB1C9F" w:rsidRPr="001D2C3C">
              <w:rPr>
                <w:rFonts w:ascii="Arial" w:eastAsia="MS Mincho" w:hAnsi="Arial" w:cs="Arial"/>
                <w:color w:val="000000" w:themeColor="text1"/>
                <w:szCs w:val="20"/>
                <w:lang w:val="en-US" w:eastAsia="ja-JP"/>
              </w:rPr>
              <w:t xml:space="preserve"> </w:t>
            </w:r>
            <w:r w:rsidRPr="001D2C3C">
              <w:rPr>
                <w:rFonts w:ascii="Arial" w:eastAsia="MS Mincho" w:hAnsi="Arial" w:cs="Arial"/>
                <w:color w:val="000000" w:themeColor="text1"/>
                <w:szCs w:val="20"/>
                <w:lang w:val="en-US" w:eastAsia="ja-JP"/>
              </w:rPr>
              <w:t xml:space="preserve">centers, self-help groups, advocacy, </w:t>
            </w:r>
            <w:r w:rsidR="00A513E5" w:rsidRPr="001D2C3C">
              <w:rPr>
                <w:rFonts w:ascii="Arial" w:eastAsia="MS Mincho" w:hAnsi="Arial" w:cs="Arial"/>
                <w:color w:val="000000" w:themeColor="text1"/>
                <w:szCs w:val="20"/>
                <w:lang w:val="en-US" w:eastAsia="ja-JP"/>
              </w:rPr>
              <w:t xml:space="preserve">on line resources, </w:t>
            </w:r>
            <w:r w:rsidRPr="001D2C3C">
              <w:rPr>
                <w:rFonts w:ascii="Arial" w:eastAsia="MS Mincho" w:hAnsi="Arial" w:cs="Arial"/>
                <w:color w:val="000000" w:themeColor="text1"/>
                <w:szCs w:val="20"/>
                <w:lang w:val="en-US" w:eastAsia="ja-JP"/>
              </w:rPr>
              <w:t>cultural and diversity needs, leisure and</w:t>
            </w:r>
            <w:r w:rsidR="00425395" w:rsidRPr="001D2C3C">
              <w:rPr>
                <w:rFonts w:ascii="Arial" w:eastAsia="MS Mincho" w:hAnsi="Arial" w:cs="Arial"/>
                <w:color w:val="000000" w:themeColor="text1"/>
                <w:szCs w:val="20"/>
                <w:lang w:val="en-US" w:eastAsia="ja-JP"/>
              </w:rPr>
              <w:t xml:space="preserve"> hobby pursuits</w:t>
            </w:r>
            <w:r w:rsidR="00080E3A" w:rsidRPr="001D2C3C">
              <w:rPr>
                <w:rFonts w:ascii="Arial" w:eastAsia="MS Mincho" w:hAnsi="Arial" w:cs="Arial"/>
                <w:color w:val="000000" w:themeColor="text1"/>
                <w:szCs w:val="20"/>
                <w:lang w:val="en-US" w:eastAsia="ja-JP"/>
              </w:rPr>
              <w:t>.</w:t>
            </w:r>
          </w:p>
          <w:p w:rsidR="004254B6" w:rsidRPr="001D2C3C" w:rsidRDefault="004254B6" w:rsidP="00EB717E">
            <w:pPr>
              <w:spacing w:after="0" w:line="240" w:lineRule="auto"/>
              <w:rPr>
                <w:rFonts w:ascii="Arial" w:eastAsia="MS Mincho" w:hAnsi="Arial" w:cs="Arial"/>
                <w:color w:val="000000" w:themeColor="text1"/>
                <w:szCs w:val="20"/>
                <w:lang w:val="en-US" w:eastAsia="ja-JP"/>
              </w:rPr>
            </w:pPr>
          </w:p>
          <w:p w:rsidR="00A513E5" w:rsidRPr="001D2C3C" w:rsidRDefault="004254B6"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Step 6</w:t>
            </w:r>
            <w:r w:rsidR="00F80C77" w:rsidRPr="001D2C3C">
              <w:rPr>
                <w:rFonts w:ascii="Arial" w:eastAsia="MS Mincho" w:hAnsi="Arial" w:cs="Arial"/>
                <w:color w:val="000000" w:themeColor="text1"/>
                <w:szCs w:val="20"/>
                <w:lang w:val="en-US" w:eastAsia="ja-JP"/>
              </w:rPr>
              <w:t xml:space="preserve">: Provide </w:t>
            </w:r>
            <w:proofErr w:type="spellStart"/>
            <w:r w:rsidR="00D141DC" w:rsidRPr="001D2C3C">
              <w:rPr>
                <w:rFonts w:ascii="Arial" w:eastAsia="MS Mincho" w:hAnsi="Arial" w:cs="Arial"/>
                <w:color w:val="000000" w:themeColor="text1"/>
                <w:szCs w:val="20"/>
                <w:lang w:val="en-US" w:eastAsia="ja-JP"/>
              </w:rPr>
              <w:t>prevention</w:t>
            </w:r>
            <w:r w:rsidR="00181158" w:rsidRPr="001D2C3C">
              <w:rPr>
                <w:rFonts w:ascii="Arial" w:eastAsia="MS Mincho" w:hAnsi="Arial" w:cs="Arial"/>
                <w:color w:val="000000" w:themeColor="text1"/>
                <w:szCs w:val="20"/>
                <w:lang w:val="en-US" w:eastAsia="ja-JP"/>
              </w:rPr>
              <w:t>al</w:t>
            </w:r>
            <w:proofErr w:type="spellEnd"/>
            <w:r w:rsidR="00D141DC" w:rsidRPr="001D2C3C">
              <w:rPr>
                <w:rFonts w:ascii="Arial" w:eastAsia="MS Mincho" w:hAnsi="Arial" w:cs="Arial"/>
                <w:color w:val="000000" w:themeColor="text1"/>
                <w:szCs w:val="20"/>
                <w:lang w:val="en-US" w:eastAsia="ja-JP"/>
              </w:rPr>
              <w:t xml:space="preserve"> &amp;</w:t>
            </w:r>
            <w:r w:rsidR="00A513E5" w:rsidRPr="001D2C3C">
              <w:rPr>
                <w:rFonts w:ascii="Arial" w:eastAsia="MS Mincho" w:hAnsi="Arial" w:cs="Arial"/>
                <w:color w:val="000000" w:themeColor="text1"/>
                <w:szCs w:val="20"/>
                <w:lang w:val="en-US" w:eastAsia="ja-JP"/>
              </w:rPr>
              <w:t xml:space="preserve"> </w:t>
            </w:r>
            <w:r w:rsidR="00F80C77" w:rsidRPr="001D2C3C">
              <w:rPr>
                <w:rFonts w:ascii="Arial" w:eastAsia="MS Mincho" w:hAnsi="Arial" w:cs="Arial"/>
                <w:color w:val="000000" w:themeColor="text1"/>
                <w:szCs w:val="20"/>
                <w:lang w:val="en-US" w:eastAsia="ja-JP"/>
              </w:rPr>
              <w:t>harm reduction advice, educational literature and information and swift access back to t</w:t>
            </w:r>
            <w:r w:rsidR="00A513E5" w:rsidRPr="001D2C3C">
              <w:rPr>
                <w:rFonts w:ascii="Arial" w:eastAsia="MS Mincho" w:hAnsi="Arial" w:cs="Arial"/>
                <w:color w:val="000000" w:themeColor="text1"/>
                <w:szCs w:val="20"/>
                <w:lang w:val="en-US" w:eastAsia="ja-JP"/>
              </w:rPr>
              <w:t>he service in crisis</w:t>
            </w:r>
            <w:r w:rsidR="00261DEA" w:rsidRPr="001D2C3C">
              <w:rPr>
                <w:rFonts w:ascii="Arial" w:eastAsia="MS Mincho" w:hAnsi="Arial" w:cs="Arial"/>
                <w:color w:val="000000" w:themeColor="text1"/>
                <w:szCs w:val="20"/>
                <w:lang w:val="en-US" w:eastAsia="ja-JP"/>
              </w:rPr>
              <w:t xml:space="preserve"> or relapse</w:t>
            </w:r>
            <w:r w:rsidR="00A513E5" w:rsidRPr="001D2C3C">
              <w:rPr>
                <w:rFonts w:ascii="Arial" w:eastAsia="MS Mincho" w:hAnsi="Arial" w:cs="Arial"/>
                <w:color w:val="000000" w:themeColor="text1"/>
                <w:szCs w:val="20"/>
                <w:lang w:val="en-US" w:eastAsia="ja-JP"/>
              </w:rPr>
              <w:t xml:space="preserve"> situations</w:t>
            </w:r>
            <w:r w:rsidR="00080E3A" w:rsidRPr="001D2C3C">
              <w:rPr>
                <w:rFonts w:ascii="Arial" w:eastAsia="MS Mincho" w:hAnsi="Arial" w:cs="Arial"/>
                <w:color w:val="000000" w:themeColor="text1"/>
                <w:szCs w:val="20"/>
                <w:lang w:val="en-US" w:eastAsia="ja-JP"/>
              </w:rPr>
              <w:t>.</w:t>
            </w:r>
          </w:p>
          <w:p w:rsidR="00A513E5" w:rsidRPr="001D2C3C" w:rsidRDefault="00A513E5" w:rsidP="00EB717E">
            <w:pPr>
              <w:spacing w:after="0" w:line="240" w:lineRule="auto"/>
              <w:rPr>
                <w:rFonts w:ascii="Arial" w:eastAsia="MS Mincho" w:hAnsi="Arial" w:cs="Arial"/>
                <w:color w:val="000000" w:themeColor="text1"/>
                <w:szCs w:val="20"/>
                <w:lang w:val="en-US" w:eastAsia="ja-JP"/>
              </w:rPr>
            </w:pPr>
          </w:p>
          <w:p w:rsidR="0042311E" w:rsidRPr="001D2C3C" w:rsidRDefault="00A513E5"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Step 7: To encourage the building of professional collaborative working relationships with the secondary care provider to try to avoid silo working practices</w:t>
            </w:r>
            <w:r w:rsidR="0051341C" w:rsidRPr="001D2C3C">
              <w:rPr>
                <w:rFonts w:ascii="Arial" w:eastAsia="MS Mincho" w:hAnsi="Arial" w:cs="Arial"/>
                <w:color w:val="000000" w:themeColor="text1"/>
                <w:szCs w:val="20"/>
                <w:lang w:val="en-US" w:eastAsia="ja-JP"/>
              </w:rPr>
              <w:t>, overlap in services, smooth transfer for patients between services</w:t>
            </w:r>
            <w:r w:rsidRPr="001D2C3C">
              <w:rPr>
                <w:rFonts w:ascii="Arial" w:eastAsia="MS Mincho" w:hAnsi="Arial" w:cs="Arial"/>
                <w:color w:val="000000" w:themeColor="text1"/>
                <w:szCs w:val="20"/>
                <w:lang w:val="en-US" w:eastAsia="ja-JP"/>
              </w:rPr>
              <w:t xml:space="preserve"> and to enable an effective locality wide dru</w:t>
            </w:r>
            <w:r w:rsidR="0051341C" w:rsidRPr="001D2C3C">
              <w:rPr>
                <w:rFonts w:ascii="Arial" w:eastAsia="MS Mincho" w:hAnsi="Arial" w:cs="Arial"/>
                <w:color w:val="000000" w:themeColor="text1"/>
                <w:szCs w:val="20"/>
                <w:lang w:val="en-US" w:eastAsia="ja-JP"/>
              </w:rPr>
              <w:t xml:space="preserve">g &amp; alcohol treatment </w:t>
            </w:r>
            <w:r w:rsidRPr="001D2C3C">
              <w:rPr>
                <w:rFonts w:ascii="Arial" w:eastAsia="MS Mincho" w:hAnsi="Arial" w:cs="Arial"/>
                <w:color w:val="000000" w:themeColor="text1"/>
                <w:szCs w:val="20"/>
                <w:lang w:val="en-US" w:eastAsia="ja-JP"/>
              </w:rPr>
              <w:t>provision</w:t>
            </w:r>
            <w:r w:rsidR="00A35912" w:rsidRPr="001D2C3C">
              <w:rPr>
                <w:rFonts w:ascii="Arial" w:eastAsia="MS Mincho" w:hAnsi="Arial" w:cs="Arial"/>
                <w:color w:val="000000" w:themeColor="text1"/>
                <w:szCs w:val="20"/>
                <w:lang w:val="en-US" w:eastAsia="ja-JP"/>
              </w:rPr>
              <w:t xml:space="preserve"> for our </w:t>
            </w:r>
            <w:r w:rsidR="00BD6147" w:rsidRPr="001D2C3C">
              <w:rPr>
                <w:rFonts w:ascii="Arial" w:eastAsia="MS Mincho" w:hAnsi="Arial" w:cs="Arial"/>
                <w:color w:val="000000" w:themeColor="text1"/>
                <w:szCs w:val="20"/>
                <w:lang w:val="en-US" w:eastAsia="ja-JP"/>
              </w:rPr>
              <w:t xml:space="preserve">local </w:t>
            </w:r>
            <w:r w:rsidR="00A35912" w:rsidRPr="001D2C3C">
              <w:rPr>
                <w:rFonts w:ascii="Arial" w:eastAsia="MS Mincho" w:hAnsi="Arial" w:cs="Arial"/>
                <w:color w:val="000000" w:themeColor="text1"/>
                <w:szCs w:val="20"/>
                <w:lang w:val="en-US" w:eastAsia="ja-JP"/>
              </w:rPr>
              <w:t>community</w:t>
            </w:r>
            <w:r w:rsidR="00080E3A" w:rsidRPr="001D2C3C">
              <w:rPr>
                <w:rFonts w:ascii="Arial" w:eastAsia="MS Mincho" w:hAnsi="Arial" w:cs="Arial"/>
                <w:color w:val="000000" w:themeColor="text1"/>
                <w:szCs w:val="20"/>
                <w:lang w:val="en-US" w:eastAsia="ja-JP"/>
              </w:rPr>
              <w:t>.</w:t>
            </w:r>
            <w:r w:rsidR="00F80C77" w:rsidRPr="001D2C3C">
              <w:rPr>
                <w:rFonts w:ascii="Arial" w:eastAsia="MS Mincho" w:hAnsi="Arial" w:cs="Arial"/>
                <w:color w:val="000000" w:themeColor="text1"/>
                <w:szCs w:val="20"/>
                <w:lang w:val="en-US" w:eastAsia="ja-JP"/>
              </w:rPr>
              <w:br/>
            </w:r>
          </w:p>
          <w:p w:rsidR="00F80C77" w:rsidRPr="001D2C3C" w:rsidRDefault="00F80C77"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Additional steps may include initial assessment and referral to mental health services, and working in collaboration with care coordination, to work in partnership with criminal jus</w:t>
            </w:r>
            <w:r w:rsidR="004254B6" w:rsidRPr="001D2C3C">
              <w:rPr>
                <w:rFonts w:ascii="Arial" w:eastAsia="MS Mincho" w:hAnsi="Arial" w:cs="Arial"/>
                <w:color w:val="000000" w:themeColor="text1"/>
                <w:szCs w:val="20"/>
                <w:lang w:val="en-US" w:eastAsia="ja-JP"/>
              </w:rPr>
              <w:t>tice agencies where appropriate, where there is immediate risk and in the case of serious c</w:t>
            </w:r>
            <w:r w:rsidRPr="001D2C3C">
              <w:rPr>
                <w:rFonts w:ascii="Arial" w:eastAsia="MS Mincho" w:hAnsi="Arial" w:cs="Arial"/>
                <w:color w:val="000000" w:themeColor="text1"/>
                <w:szCs w:val="20"/>
                <w:lang w:val="en-US" w:eastAsia="ja-JP"/>
              </w:rPr>
              <w:t xml:space="preserve">rime  </w:t>
            </w:r>
            <w:r w:rsidR="00A513E5" w:rsidRPr="001D2C3C">
              <w:rPr>
                <w:rFonts w:ascii="Arial" w:eastAsia="MS Mincho" w:hAnsi="Arial" w:cs="Arial"/>
                <w:color w:val="000000" w:themeColor="text1"/>
                <w:szCs w:val="20"/>
                <w:lang w:val="en-US" w:eastAsia="ja-JP"/>
              </w:rPr>
              <w:t>or in the public interest</w:t>
            </w:r>
            <w:r w:rsidR="00080E3A" w:rsidRPr="001D2C3C">
              <w:rPr>
                <w:rFonts w:ascii="Arial" w:eastAsia="MS Mincho" w:hAnsi="Arial" w:cs="Arial"/>
                <w:color w:val="000000" w:themeColor="text1"/>
                <w:szCs w:val="20"/>
                <w:lang w:val="en-US" w:eastAsia="ja-JP"/>
              </w:rPr>
              <w:t>.</w:t>
            </w:r>
          </w:p>
          <w:p w:rsidR="00F80C77" w:rsidRDefault="00F80C77" w:rsidP="00EB717E">
            <w:pPr>
              <w:spacing w:after="0" w:line="240" w:lineRule="auto"/>
              <w:rPr>
                <w:rFonts w:ascii="Arial" w:eastAsia="MS Mincho" w:hAnsi="Arial" w:cs="Arial"/>
                <w:color w:val="000000" w:themeColor="text1"/>
                <w:szCs w:val="20"/>
                <w:lang w:val="en-US" w:eastAsia="ja-JP"/>
              </w:rPr>
            </w:pPr>
          </w:p>
          <w:p w:rsidR="001D2C3C" w:rsidRPr="001D2C3C" w:rsidRDefault="001D2C3C" w:rsidP="00EB717E">
            <w:pPr>
              <w:spacing w:after="0" w:line="240" w:lineRule="auto"/>
              <w:rPr>
                <w:rFonts w:ascii="Arial" w:eastAsia="MS Mincho" w:hAnsi="Arial" w:cs="Arial"/>
                <w:color w:val="000000" w:themeColor="text1"/>
                <w:szCs w:val="20"/>
                <w:lang w:val="en-US" w:eastAsia="ja-JP"/>
              </w:rPr>
            </w:pPr>
          </w:p>
          <w:p w:rsidR="00EB717E" w:rsidRPr="001D2C3C" w:rsidRDefault="00EB717E" w:rsidP="00EB717E">
            <w:pPr>
              <w:spacing w:after="0" w:line="240" w:lineRule="auto"/>
              <w:rPr>
                <w:rFonts w:ascii="Arial" w:eastAsia="MS Mincho" w:hAnsi="Arial" w:cs="Arial"/>
                <w:b/>
                <w:color w:val="000000" w:themeColor="text1"/>
                <w:szCs w:val="20"/>
                <w:lang w:val="en-US" w:eastAsia="ja-JP"/>
              </w:rPr>
            </w:pPr>
            <w:r w:rsidRPr="001D2C3C">
              <w:rPr>
                <w:rFonts w:ascii="Arial" w:eastAsia="MS Mincho" w:hAnsi="Arial" w:cs="Arial"/>
                <w:b/>
                <w:color w:val="000000" w:themeColor="text1"/>
                <w:szCs w:val="20"/>
                <w:lang w:val="en-US" w:eastAsia="ja-JP"/>
              </w:rPr>
              <w:t>3.3</w:t>
            </w:r>
            <w:r w:rsidRPr="001D2C3C">
              <w:rPr>
                <w:rFonts w:ascii="Arial" w:eastAsia="MS Mincho" w:hAnsi="Arial" w:cs="Arial"/>
                <w:b/>
                <w:color w:val="000000" w:themeColor="text1"/>
                <w:szCs w:val="20"/>
                <w:lang w:val="en-US" w:eastAsia="ja-JP"/>
              </w:rPr>
              <w:tab/>
              <w:t>Population covered</w:t>
            </w:r>
          </w:p>
          <w:p w:rsidR="00EB717E" w:rsidRPr="001D2C3C" w:rsidRDefault="00EB717E" w:rsidP="00EB717E">
            <w:pPr>
              <w:spacing w:after="0" w:line="240" w:lineRule="auto"/>
              <w:rPr>
                <w:rFonts w:ascii="Arial" w:eastAsia="MS Mincho" w:hAnsi="Arial" w:cs="Arial"/>
                <w:color w:val="000000" w:themeColor="text1"/>
                <w:szCs w:val="20"/>
                <w:lang w:val="en-US" w:eastAsia="ja-JP"/>
              </w:rPr>
            </w:pPr>
          </w:p>
          <w:p w:rsidR="00DB1C9F" w:rsidRPr="001D2C3C" w:rsidRDefault="00DB1C9F"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Agreed cohort of registered patients within the practices of GPIP (Grimsby Practices in Partnership -  Birkwood, Pelham, Chantry, Woodford/Littlefield, Drs Sinha &amp; De), and offer registration within GPIP to patients currently undergoing treatment at Drs Chalmers &amp; Meier’s or transfer to secondary services.  GPIP will offer treatment to patients who are currently registered but residing outside practice boundaries.</w:t>
            </w:r>
          </w:p>
          <w:p w:rsidR="00DB1C9F" w:rsidRDefault="00DB1C9F" w:rsidP="00EB717E">
            <w:pPr>
              <w:spacing w:after="0" w:line="240" w:lineRule="auto"/>
              <w:rPr>
                <w:rFonts w:ascii="Arial" w:eastAsia="MS Mincho" w:hAnsi="Arial" w:cs="Arial"/>
                <w:b/>
                <w:color w:val="000000" w:themeColor="text1"/>
                <w:szCs w:val="20"/>
                <w:lang w:val="en-US" w:eastAsia="ja-JP"/>
              </w:rPr>
            </w:pPr>
          </w:p>
          <w:p w:rsidR="001D2C3C" w:rsidRPr="001D2C3C" w:rsidRDefault="001D2C3C" w:rsidP="00EB717E">
            <w:pPr>
              <w:spacing w:after="0" w:line="240" w:lineRule="auto"/>
              <w:rPr>
                <w:rFonts w:ascii="Arial" w:eastAsia="MS Mincho" w:hAnsi="Arial" w:cs="Arial"/>
                <w:b/>
                <w:color w:val="000000" w:themeColor="text1"/>
                <w:szCs w:val="20"/>
                <w:lang w:val="en-US" w:eastAsia="ja-JP"/>
              </w:rPr>
            </w:pPr>
          </w:p>
          <w:p w:rsidR="00EB717E" w:rsidRPr="001D2C3C" w:rsidRDefault="00EB717E" w:rsidP="00EB717E">
            <w:pPr>
              <w:spacing w:after="0" w:line="240" w:lineRule="auto"/>
              <w:rPr>
                <w:rFonts w:ascii="Arial" w:eastAsia="MS Mincho" w:hAnsi="Arial" w:cs="Arial"/>
                <w:b/>
                <w:color w:val="000000" w:themeColor="text1"/>
                <w:szCs w:val="20"/>
                <w:lang w:val="en-US" w:eastAsia="ja-JP"/>
              </w:rPr>
            </w:pPr>
            <w:r w:rsidRPr="001D2C3C">
              <w:rPr>
                <w:rFonts w:ascii="Arial" w:eastAsia="MS Mincho" w:hAnsi="Arial" w:cs="Arial"/>
                <w:b/>
                <w:color w:val="000000" w:themeColor="text1"/>
                <w:szCs w:val="20"/>
                <w:lang w:val="en-US" w:eastAsia="ja-JP"/>
              </w:rPr>
              <w:t>3.4</w:t>
            </w:r>
            <w:r w:rsidRPr="001D2C3C">
              <w:rPr>
                <w:rFonts w:ascii="Arial" w:eastAsia="MS Mincho" w:hAnsi="Arial" w:cs="Arial"/>
                <w:b/>
                <w:color w:val="000000" w:themeColor="text1"/>
                <w:szCs w:val="20"/>
                <w:lang w:val="en-US" w:eastAsia="ja-JP"/>
              </w:rPr>
              <w:tab/>
              <w:t>Any acceptance and exclusion criteria and thresholds</w:t>
            </w:r>
          </w:p>
          <w:p w:rsidR="00EB717E" w:rsidRPr="001D2C3C" w:rsidRDefault="00EB717E" w:rsidP="00EB717E">
            <w:pPr>
              <w:spacing w:after="0" w:line="240" w:lineRule="auto"/>
              <w:rPr>
                <w:rFonts w:ascii="Arial" w:eastAsia="MS Mincho" w:hAnsi="Arial" w:cs="Arial"/>
                <w:color w:val="000000" w:themeColor="text1"/>
                <w:szCs w:val="20"/>
                <w:lang w:val="en-US" w:eastAsia="ja-JP"/>
              </w:rPr>
            </w:pPr>
          </w:p>
          <w:p w:rsidR="00DB1C9F" w:rsidRPr="001D2C3C" w:rsidRDefault="00123F7B" w:rsidP="00DB1C9F">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All patients will be within the </w:t>
            </w:r>
            <w:r w:rsidR="00DB1C9F" w:rsidRPr="001D2C3C">
              <w:rPr>
                <w:rFonts w:ascii="Arial" w:eastAsia="MS Mincho" w:hAnsi="Arial" w:cs="Arial"/>
                <w:color w:val="000000" w:themeColor="text1"/>
                <w:szCs w:val="20"/>
                <w:lang w:val="en-US" w:eastAsia="ja-JP"/>
              </w:rPr>
              <w:t>NDTMS/</w:t>
            </w:r>
            <w:r w:rsidRPr="001D2C3C">
              <w:rPr>
                <w:rFonts w:ascii="Arial" w:eastAsia="MS Mincho" w:hAnsi="Arial" w:cs="Arial"/>
                <w:color w:val="000000" w:themeColor="text1"/>
                <w:szCs w:val="20"/>
                <w:lang w:val="en-US" w:eastAsia="ja-JP"/>
              </w:rPr>
              <w:t xml:space="preserve">PHE compliant cohort </w:t>
            </w:r>
          </w:p>
          <w:p w:rsidR="00DB1C9F" w:rsidRPr="001D2C3C" w:rsidRDefault="00490E7B" w:rsidP="00DB1C9F">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reg</w:t>
            </w:r>
            <w:r w:rsidR="00DB1C9F" w:rsidRPr="001D2C3C">
              <w:rPr>
                <w:rFonts w:ascii="Arial" w:eastAsia="MS Mincho" w:hAnsi="Arial" w:cs="Arial"/>
                <w:color w:val="000000" w:themeColor="text1"/>
                <w:szCs w:val="20"/>
                <w:lang w:val="en-US" w:eastAsia="ja-JP"/>
              </w:rPr>
              <w:t>istered patients</w:t>
            </w:r>
            <w:r w:rsidRPr="001D2C3C">
              <w:rPr>
                <w:rFonts w:ascii="Arial" w:eastAsia="MS Mincho" w:hAnsi="Arial" w:cs="Arial"/>
                <w:color w:val="000000" w:themeColor="text1"/>
                <w:szCs w:val="20"/>
                <w:lang w:val="en-US" w:eastAsia="ja-JP"/>
              </w:rPr>
              <w:t xml:space="preserve"> of GPIP practices</w:t>
            </w:r>
            <w:r w:rsidR="00123F7B" w:rsidRPr="001D2C3C">
              <w:rPr>
                <w:rFonts w:ascii="Arial" w:eastAsia="MS Mincho" w:hAnsi="Arial" w:cs="Arial"/>
                <w:color w:val="000000" w:themeColor="text1"/>
                <w:szCs w:val="20"/>
                <w:lang w:val="en-US" w:eastAsia="ja-JP"/>
              </w:rPr>
              <w:t xml:space="preserve"> only</w:t>
            </w:r>
          </w:p>
          <w:p w:rsidR="00EB717E" w:rsidRPr="001D2C3C" w:rsidRDefault="00DB1C9F" w:rsidP="00DB1C9F">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Over 18 years of age</w:t>
            </w:r>
          </w:p>
          <w:p w:rsidR="00266749" w:rsidRDefault="00261DEA" w:rsidP="00DB1C9F">
            <w:pPr>
              <w:pStyle w:val="ListParagraph"/>
              <w:numPr>
                <w:ilvl w:val="0"/>
                <w:numId w:val="4"/>
              </w:numPr>
              <w:spacing w:after="0"/>
              <w:rPr>
                <w:rFonts w:ascii="Arial" w:eastAsia="MS Mincho" w:hAnsi="Arial" w:cs="Arial"/>
                <w:color w:val="000000" w:themeColor="text1"/>
                <w:szCs w:val="20"/>
                <w:lang w:val="en-US" w:eastAsia="ja-JP"/>
              </w:rPr>
            </w:pPr>
            <w:r w:rsidRPr="00266749">
              <w:rPr>
                <w:rFonts w:ascii="Arial" w:eastAsia="MS Mincho" w:hAnsi="Arial" w:cs="Arial"/>
                <w:color w:val="000000" w:themeColor="text1"/>
                <w:szCs w:val="20"/>
                <w:lang w:val="en-US" w:eastAsia="ja-JP"/>
              </w:rPr>
              <w:t>Maximum numbers to be agreed (suggest a 10% above/below agreed</w:t>
            </w:r>
            <w:r w:rsidR="00266749" w:rsidRPr="00266749">
              <w:rPr>
                <w:rFonts w:ascii="Arial" w:eastAsia="MS Mincho" w:hAnsi="Arial" w:cs="Arial"/>
                <w:color w:val="000000" w:themeColor="text1"/>
                <w:szCs w:val="20"/>
                <w:lang w:val="en-US" w:eastAsia="ja-JP"/>
              </w:rPr>
              <w:t xml:space="preserve"> number- 250</w:t>
            </w:r>
          </w:p>
          <w:p w:rsidR="00490E7B" w:rsidRPr="00266749" w:rsidRDefault="00181158" w:rsidP="00DB1C9F">
            <w:pPr>
              <w:pStyle w:val="ListParagraph"/>
              <w:numPr>
                <w:ilvl w:val="0"/>
                <w:numId w:val="4"/>
              </w:numPr>
              <w:spacing w:after="0"/>
              <w:rPr>
                <w:rFonts w:ascii="Arial" w:eastAsia="MS Mincho" w:hAnsi="Arial" w:cs="Arial"/>
                <w:color w:val="000000" w:themeColor="text1"/>
                <w:szCs w:val="20"/>
                <w:lang w:val="en-US" w:eastAsia="ja-JP"/>
              </w:rPr>
            </w:pPr>
            <w:r w:rsidRPr="00266749">
              <w:rPr>
                <w:rFonts w:ascii="Arial" w:eastAsia="MS Mincho" w:hAnsi="Arial" w:cs="Arial"/>
                <w:color w:val="000000" w:themeColor="text1"/>
                <w:szCs w:val="20"/>
                <w:lang w:val="en-US" w:eastAsia="ja-JP"/>
              </w:rPr>
              <w:t xml:space="preserve">GPIP </w:t>
            </w:r>
            <w:r w:rsidR="00490E7B" w:rsidRPr="00266749">
              <w:rPr>
                <w:rFonts w:ascii="Arial" w:eastAsia="MS Mincho" w:hAnsi="Arial" w:cs="Arial"/>
                <w:color w:val="000000" w:themeColor="text1"/>
                <w:szCs w:val="20"/>
                <w:lang w:val="en-US" w:eastAsia="ja-JP"/>
              </w:rPr>
              <w:t xml:space="preserve"> </w:t>
            </w:r>
            <w:r w:rsidR="00527154" w:rsidRPr="00266749">
              <w:rPr>
                <w:rFonts w:ascii="Arial" w:eastAsia="MS Mincho" w:hAnsi="Arial" w:cs="Arial"/>
                <w:color w:val="000000" w:themeColor="text1"/>
                <w:szCs w:val="20"/>
                <w:lang w:val="en-US" w:eastAsia="ja-JP"/>
              </w:rPr>
              <w:t xml:space="preserve">will </w:t>
            </w:r>
            <w:r w:rsidR="00490E7B" w:rsidRPr="00266749">
              <w:rPr>
                <w:rFonts w:ascii="Arial" w:eastAsia="MS Mincho" w:hAnsi="Arial" w:cs="Arial"/>
                <w:color w:val="000000" w:themeColor="text1"/>
                <w:szCs w:val="20"/>
                <w:lang w:val="en-US" w:eastAsia="ja-JP"/>
              </w:rPr>
              <w:t>provide treatment packages for pregnant and dual-diagnosis patients</w:t>
            </w:r>
            <w:r w:rsidR="00527154" w:rsidRPr="00266749">
              <w:rPr>
                <w:rFonts w:ascii="Arial" w:eastAsia="MS Mincho" w:hAnsi="Arial" w:cs="Arial"/>
                <w:color w:val="000000" w:themeColor="text1"/>
                <w:szCs w:val="20"/>
                <w:lang w:val="en-US" w:eastAsia="ja-JP"/>
              </w:rPr>
              <w:t>, but transfer</w:t>
            </w:r>
            <w:r w:rsidR="00490E7B" w:rsidRPr="00266749">
              <w:rPr>
                <w:rFonts w:ascii="Arial" w:eastAsia="MS Mincho" w:hAnsi="Arial" w:cs="Arial"/>
                <w:color w:val="000000" w:themeColor="text1"/>
                <w:szCs w:val="20"/>
                <w:lang w:val="en-US" w:eastAsia="ja-JP"/>
              </w:rPr>
              <w:t xml:space="preserve"> to secondary services where patients </w:t>
            </w:r>
            <w:r w:rsidRPr="00266749">
              <w:rPr>
                <w:rFonts w:ascii="Arial" w:eastAsia="MS Mincho" w:hAnsi="Arial" w:cs="Arial"/>
                <w:color w:val="000000" w:themeColor="text1"/>
                <w:szCs w:val="20"/>
                <w:lang w:val="en-US" w:eastAsia="ja-JP"/>
              </w:rPr>
              <w:t>are</w:t>
            </w:r>
            <w:r w:rsidR="00490E7B" w:rsidRPr="00266749">
              <w:rPr>
                <w:rFonts w:ascii="Arial" w:eastAsia="MS Mincho" w:hAnsi="Arial" w:cs="Arial"/>
                <w:color w:val="000000" w:themeColor="text1"/>
                <w:szCs w:val="20"/>
                <w:lang w:val="en-US" w:eastAsia="ja-JP"/>
              </w:rPr>
              <w:t xml:space="preserve"> unmanageable in primary care</w:t>
            </w:r>
          </w:p>
          <w:p w:rsidR="00123F7B" w:rsidRPr="001D2C3C" w:rsidRDefault="00A5419B" w:rsidP="00DB1C9F">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w:t>
            </w:r>
            <w:r w:rsidR="00490E7B" w:rsidRPr="001D2C3C">
              <w:rPr>
                <w:rFonts w:ascii="Arial" w:eastAsia="MS Mincho" w:hAnsi="Arial" w:cs="Arial"/>
                <w:color w:val="000000" w:themeColor="text1"/>
                <w:szCs w:val="20"/>
                <w:lang w:val="en-US" w:eastAsia="ja-JP"/>
              </w:rPr>
              <w:t>riage</w:t>
            </w:r>
            <w:r w:rsidR="00527154" w:rsidRPr="001D2C3C">
              <w:rPr>
                <w:rFonts w:ascii="Arial" w:eastAsia="MS Mincho" w:hAnsi="Arial" w:cs="Arial"/>
                <w:color w:val="000000" w:themeColor="text1"/>
                <w:szCs w:val="20"/>
                <w:lang w:val="en-US" w:eastAsia="ja-JP"/>
              </w:rPr>
              <w:t xml:space="preserve"> and</w:t>
            </w:r>
            <w:r w:rsidR="00123F7B" w:rsidRPr="001D2C3C">
              <w:rPr>
                <w:rFonts w:ascii="Arial" w:eastAsia="MS Mincho" w:hAnsi="Arial" w:cs="Arial"/>
                <w:color w:val="000000" w:themeColor="text1"/>
                <w:szCs w:val="20"/>
                <w:lang w:val="en-US" w:eastAsia="ja-JP"/>
              </w:rPr>
              <w:t xml:space="preserve"> refer highly complex people to the secondary service</w:t>
            </w:r>
          </w:p>
          <w:p w:rsidR="00A5419B" w:rsidRPr="001D2C3C" w:rsidRDefault="00181158" w:rsidP="00080E3A">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GPIP</w:t>
            </w:r>
            <w:r w:rsidR="00123F7B" w:rsidRPr="001D2C3C">
              <w:rPr>
                <w:rFonts w:ascii="Arial" w:eastAsia="MS Mincho" w:hAnsi="Arial" w:cs="Arial"/>
                <w:color w:val="000000" w:themeColor="text1"/>
                <w:szCs w:val="20"/>
                <w:lang w:val="en-US" w:eastAsia="ja-JP"/>
              </w:rPr>
              <w:t xml:space="preserve"> would decline to treat patients already in treatmen</w:t>
            </w:r>
            <w:r w:rsidR="00490E7B" w:rsidRPr="001D2C3C">
              <w:rPr>
                <w:rFonts w:ascii="Arial" w:eastAsia="MS Mincho" w:hAnsi="Arial" w:cs="Arial"/>
                <w:color w:val="000000" w:themeColor="text1"/>
                <w:szCs w:val="20"/>
                <w:lang w:val="en-US" w:eastAsia="ja-JP"/>
              </w:rPr>
              <w:t xml:space="preserve">t with secondary care providers, to </w:t>
            </w:r>
            <w:r w:rsidR="00DF6BE6" w:rsidRPr="001D2C3C">
              <w:rPr>
                <w:rFonts w:ascii="Arial" w:eastAsia="MS Mincho" w:hAnsi="Arial" w:cs="Arial"/>
                <w:color w:val="000000" w:themeColor="text1"/>
                <w:szCs w:val="20"/>
                <w:lang w:val="en-US" w:eastAsia="ja-JP"/>
              </w:rPr>
              <w:t>avoid</w:t>
            </w:r>
            <w:r w:rsidR="00490E7B" w:rsidRPr="001D2C3C">
              <w:rPr>
                <w:rFonts w:ascii="Arial" w:eastAsia="MS Mincho" w:hAnsi="Arial" w:cs="Arial"/>
                <w:color w:val="000000" w:themeColor="text1"/>
                <w:szCs w:val="20"/>
                <w:lang w:val="en-US" w:eastAsia="ja-JP"/>
              </w:rPr>
              <w:t xml:space="preserve"> duplication of services</w:t>
            </w:r>
            <w:r w:rsidR="00DF6BE6" w:rsidRPr="001D2C3C">
              <w:rPr>
                <w:rFonts w:ascii="Arial" w:eastAsia="MS Mincho" w:hAnsi="Arial" w:cs="Arial"/>
                <w:color w:val="000000" w:themeColor="text1"/>
                <w:szCs w:val="20"/>
                <w:lang w:val="en-US" w:eastAsia="ja-JP"/>
              </w:rPr>
              <w:t xml:space="preserve"> and double prescribing risk</w:t>
            </w:r>
          </w:p>
          <w:p w:rsidR="00080E3A" w:rsidRPr="006932CE" w:rsidRDefault="00A5419B" w:rsidP="00080E3A">
            <w:pPr>
              <w:pStyle w:val="ListParagraph"/>
              <w:numPr>
                <w:ilvl w:val="0"/>
                <w:numId w:val="4"/>
              </w:numPr>
              <w:spacing w:after="0"/>
              <w:rPr>
                <w:rFonts w:ascii="Arial" w:eastAsia="MS Mincho" w:hAnsi="Arial" w:cs="Arial"/>
                <w:color w:val="000000" w:themeColor="text1"/>
                <w:szCs w:val="20"/>
                <w:lang w:val="en-US" w:eastAsia="ja-JP"/>
              </w:rPr>
            </w:pPr>
            <w:r w:rsidRPr="006932CE">
              <w:rPr>
                <w:rFonts w:ascii="Arial" w:eastAsia="MS Mincho" w:hAnsi="Arial" w:cs="Arial"/>
                <w:color w:val="000000" w:themeColor="text1"/>
                <w:szCs w:val="20"/>
                <w:lang w:val="en-US" w:eastAsia="ja-JP"/>
              </w:rPr>
              <w:t>To</w:t>
            </w:r>
            <w:r w:rsidR="00123F7B" w:rsidRPr="006932CE">
              <w:rPr>
                <w:rFonts w:ascii="Arial" w:eastAsia="MS Mincho" w:hAnsi="Arial" w:cs="Arial"/>
                <w:color w:val="000000" w:themeColor="text1"/>
                <w:szCs w:val="20"/>
                <w:lang w:val="en-US" w:eastAsia="ja-JP"/>
              </w:rPr>
              <w:t xml:space="preserve"> transfer patients requiring medicated alcohol detoxification, in patient or rehabilitation facilities</w:t>
            </w:r>
            <w:r w:rsidR="00527154" w:rsidRPr="006932CE">
              <w:rPr>
                <w:rFonts w:ascii="Arial" w:eastAsia="MS Mincho" w:hAnsi="Arial" w:cs="Arial"/>
                <w:color w:val="000000" w:themeColor="text1"/>
                <w:szCs w:val="20"/>
                <w:lang w:val="en-US" w:eastAsia="ja-JP"/>
              </w:rPr>
              <w:t>/services</w:t>
            </w:r>
            <w:r w:rsidR="00123F7B" w:rsidRPr="006932CE">
              <w:rPr>
                <w:rFonts w:ascii="Arial" w:eastAsia="MS Mincho" w:hAnsi="Arial" w:cs="Arial"/>
                <w:color w:val="000000" w:themeColor="text1"/>
                <w:szCs w:val="20"/>
                <w:lang w:val="en-US" w:eastAsia="ja-JP"/>
              </w:rPr>
              <w:t xml:space="preserve"> to secondary care</w:t>
            </w:r>
          </w:p>
          <w:p w:rsidR="00123F7B" w:rsidRPr="001D2C3C" w:rsidRDefault="00123F7B" w:rsidP="001C6E7E">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Patients under 18 years of age would be referred or signposted to appropriate young peoples’ services and support</w:t>
            </w:r>
          </w:p>
          <w:p w:rsidR="00123F7B" w:rsidRPr="001D2C3C" w:rsidRDefault="00123F7B" w:rsidP="00DB1C9F">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In the case of aggression or violence, or non-compliance with treatment, </w:t>
            </w:r>
            <w:r w:rsidRPr="001D2C3C">
              <w:rPr>
                <w:rFonts w:ascii="Arial" w:eastAsia="MS Mincho" w:hAnsi="Arial" w:cs="Arial"/>
                <w:color w:val="000000" w:themeColor="text1"/>
                <w:szCs w:val="20"/>
                <w:lang w:val="en-US" w:eastAsia="ja-JP"/>
              </w:rPr>
              <w:lastRenderedPageBreak/>
              <w:t>GPIP would offer a referral to the secondary service, practices reserve the right to de-register patients or withdraw treatment in circumstances such as violence, aggr</w:t>
            </w:r>
            <w:r w:rsidR="00527154" w:rsidRPr="001D2C3C">
              <w:rPr>
                <w:rFonts w:ascii="Arial" w:eastAsia="MS Mincho" w:hAnsi="Arial" w:cs="Arial"/>
                <w:color w:val="000000" w:themeColor="text1"/>
                <w:szCs w:val="20"/>
                <w:lang w:val="en-US" w:eastAsia="ja-JP"/>
              </w:rPr>
              <w:t>ession, dealing on the premises,</w:t>
            </w:r>
            <w:r w:rsidRPr="001D2C3C">
              <w:rPr>
                <w:rFonts w:ascii="Arial" w:eastAsia="MS Mincho" w:hAnsi="Arial" w:cs="Arial"/>
                <w:color w:val="000000" w:themeColor="text1"/>
                <w:szCs w:val="20"/>
                <w:lang w:val="en-US" w:eastAsia="ja-JP"/>
              </w:rPr>
              <w:t xml:space="preserve"> non-compliance or breakdown of relationship</w:t>
            </w:r>
            <w:r w:rsidR="00A5419B" w:rsidRPr="001D2C3C">
              <w:rPr>
                <w:rFonts w:ascii="Arial" w:eastAsia="MS Mincho" w:hAnsi="Arial" w:cs="Arial"/>
                <w:color w:val="000000" w:themeColor="text1"/>
                <w:szCs w:val="20"/>
                <w:lang w:val="en-US" w:eastAsia="ja-JP"/>
              </w:rPr>
              <w:t xml:space="preserve"> in line with NHS</w:t>
            </w:r>
            <w:r w:rsidR="00080E3A" w:rsidRPr="001D2C3C">
              <w:rPr>
                <w:rFonts w:ascii="Arial" w:eastAsia="MS Mincho" w:hAnsi="Arial" w:cs="Arial"/>
                <w:color w:val="000000" w:themeColor="text1"/>
                <w:szCs w:val="20"/>
                <w:lang w:val="en-US" w:eastAsia="ja-JP"/>
              </w:rPr>
              <w:t xml:space="preserve"> Zero</w:t>
            </w:r>
            <w:r w:rsidR="00907BAA">
              <w:rPr>
                <w:rFonts w:ascii="Arial" w:eastAsia="MS Mincho" w:hAnsi="Arial" w:cs="Arial"/>
                <w:color w:val="000000" w:themeColor="text1"/>
                <w:szCs w:val="20"/>
                <w:lang w:val="en-US" w:eastAsia="ja-JP"/>
              </w:rPr>
              <w:t xml:space="preserve"> </w:t>
            </w:r>
            <w:r w:rsidR="00080E3A" w:rsidRPr="001D2C3C">
              <w:rPr>
                <w:rFonts w:ascii="Arial" w:eastAsia="MS Mincho" w:hAnsi="Arial" w:cs="Arial"/>
                <w:color w:val="000000" w:themeColor="text1"/>
                <w:szCs w:val="20"/>
                <w:lang w:val="en-US" w:eastAsia="ja-JP"/>
              </w:rPr>
              <w:t>Tol</w:t>
            </w:r>
            <w:r w:rsidR="00527154" w:rsidRPr="001D2C3C">
              <w:rPr>
                <w:rFonts w:ascii="Arial" w:eastAsia="MS Mincho" w:hAnsi="Arial" w:cs="Arial"/>
                <w:color w:val="000000" w:themeColor="text1"/>
                <w:szCs w:val="20"/>
                <w:lang w:val="en-US" w:eastAsia="ja-JP"/>
              </w:rPr>
              <w:t>erance</w:t>
            </w:r>
            <w:r w:rsidR="00A5419B" w:rsidRPr="001D2C3C">
              <w:rPr>
                <w:rFonts w:ascii="Arial" w:eastAsia="MS Mincho" w:hAnsi="Arial" w:cs="Arial"/>
                <w:color w:val="000000" w:themeColor="text1"/>
                <w:szCs w:val="20"/>
                <w:lang w:val="en-US" w:eastAsia="ja-JP"/>
              </w:rPr>
              <w:t xml:space="preserve"> policy</w:t>
            </w:r>
            <w:r w:rsidRPr="001D2C3C">
              <w:rPr>
                <w:rFonts w:ascii="Arial" w:eastAsia="MS Mincho" w:hAnsi="Arial" w:cs="Arial"/>
                <w:color w:val="000000" w:themeColor="text1"/>
                <w:szCs w:val="20"/>
                <w:lang w:val="en-US" w:eastAsia="ja-JP"/>
              </w:rPr>
              <w:t>.</w:t>
            </w:r>
          </w:p>
          <w:p w:rsidR="00123F7B" w:rsidRPr="001D2C3C" w:rsidRDefault="00123F7B" w:rsidP="00DB1C9F">
            <w:pPr>
              <w:pStyle w:val="ListParagraph"/>
              <w:numPr>
                <w:ilvl w:val="0"/>
                <w:numId w:val="4"/>
              </w:numPr>
              <w:spacing w:after="0"/>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GPIP will consider registering new patients for treatment both within their practice new patient registration policies and within the scope of agreed maximum numbers within the Drug &amp; Alcohol Service (if the service has reached maximum levels, patients would be signposted or referred to secondary care).</w:t>
            </w:r>
          </w:p>
          <w:p w:rsidR="001D2C3C" w:rsidRPr="001D2C3C" w:rsidRDefault="001D2C3C" w:rsidP="00EB717E">
            <w:pPr>
              <w:spacing w:after="0" w:line="240" w:lineRule="auto"/>
              <w:rPr>
                <w:rFonts w:ascii="Arial" w:eastAsia="MS Mincho" w:hAnsi="Arial" w:cs="Arial"/>
                <w:color w:val="000000" w:themeColor="text1"/>
                <w:szCs w:val="20"/>
                <w:lang w:val="en-US" w:eastAsia="ja-JP"/>
              </w:rPr>
            </w:pPr>
          </w:p>
          <w:p w:rsidR="00490E7B" w:rsidRPr="001D2C3C" w:rsidRDefault="00490E7B" w:rsidP="00EB717E">
            <w:pPr>
              <w:spacing w:after="0" w:line="240" w:lineRule="auto"/>
              <w:rPr>
                <w:rFonts w:ascii="Arial" w:eastAsia="MS Mincho" w:hAnsi="Arial" w:cs="Arial"/>
                <w:color w:val="000000" w:themeColor="text1"/>
                <w:szCs w:val="20"/>
                <w:lang w:val="en-US" w:eastAsia="ja-JP"/>
              </w:rPr>
            </w:pPr>
          </w:p>
          <w:p w:rsidR="00EB717E" w:rsidRPr="001D2C3C" w:rsidRDefault="00EB717E" w:rsidP="00EB717E">
            <w:pPr>
              <w:spacing w:after="0" w:line="240" w:lineRule="auto"/>
              <w:rPr>
                <w:rFonts w:ascii="Arial" w:eastAsia="MS Mincho" w:hAnsi="Arial" w:cs="Arial"/>
                <w:b/>
                <w:color w:val="000000" w:themeColor="text1"/>
                <w:szCs w:val="20"/>
                <w:lang w:val="en-US" w:eastAsia="ja-JP"/>
              </w:rPr>
            </w:pPr>
            <w:r w:rsidRPr="001D2C3C">
              <w:rPr>
                <w:rFonts w:ascii="Arial" w:eastAsia="MS Mincho" w:hAnsi="Arial" w:cs="Arial"/>
                <w:b/>
                <w:color w:val="000000" w:themeColor="text1"/>
                <w:szCs w:val="20"/>
                <w:lang w:val="en-US" w:eastAsia="ja-JP"/>
              </w:rPr>
              <w:t>3.5</w:t>
            </w:r>
            <w:r w:rsidRPr="001D2C3C">
              <w:rPr>
                <w:rFonts w:ascii="Arial" w:eastAsia="MS Mincho" w:hAnsi="Arial" w:cs="Arial"/>
                <w:b/>
                <w:color w:val="000000" w:themeColor="text1"/>
                <w:szCs w:val="20"/>
                <w:lang w:val="en-US" w:eastAsia="ja-JP"/>
              </w:rPr>
              <w:tab/>
              <w:t>Interdependence with other services/providers</w:t>
            </w:r>
          </w:p>
          <w:p w:rsidR="00E76C9A" w:rsidRPr="001D2C3C" w:rsidRDefault="00E76C9A" w:rsidP="00EB717E">
            <w:pPr>
              <w:spacing w:after="0" w:line="240" w:lineRule="auto"/>
              <w:rPr>
                <w:rFonts w:ascii="Arial" w:eastAsia="MS Mincho" w:hAnsi="Arial" w:cs="Arial"/>
                <w:color w:val="000000" w:themeColor="text1"/>
                <w:szCs w:val="20"/>
                <w:lang w:val="en-US" w:eastAsia="ja-JP"/>
              </w:rPr>
            </w:pPr>
          </w:p>
          <w:p w:rsidR="00E76C9A" w:rsidRPr="001D2C3C" w:rsidRDefault="00E76C9A"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Effective and seamless service provision is dependent on robust care pathways between health, wellbeing &amp; social care services within this locality and at times for those transferring</w:t>
            </w:r>
            <w:r w:rsidR="008A7D8A" w:rsidRPr="001D2C3C">
              <w:rPr>
                <w:rFonts w:ascii="Arial" w:eastAsia="MS Mincho" w:hAnsi="Arial" w:cs="Arial"/>
                <w:color w:val="000000" w:themeColor="text1"/>
                <w:szCs w:val="20"/>
                <w:lang w:val="en-US" w:eastAsia="ja-JP"/>
              </w:rPr>
              <w:t xml:space="preserve"> between services</w:t>
            </w:r>
            <w:r w:rsidRPr="001D2C3C">
              <w:rPr>
                <w:rFonts w:ascii="Arial" w:eastAsia="MS Mincho" w:hAnsi="Arial" w:cs="Arial"/>
                <w:color w:val="000000" w:themeColor="text1"/>
                <w:szCs w:val="20"/>
                <w:lang w:val="en-US" w:eastAsia="ja-JP"/>
              </w:rPr>
              <w:t xml:space="preserve"> or moving into this area.  All clinical</w:t>
            </w:r>
            <w:r w:rsidR="008A7D8A" w:rsidRPr="001D2C3C">
              <w:rPr>
                <w:rFonts w:ascii="Arial" w:eastAsia="MS Mincho" w:hAnsi="Arial" w:cs="Arial"/>
                <w:color w:val="000000" w:themeColor="text1"/>
                <w:szCs w:val="20"/>
                <w:lang w:val="en-US" w:eastAsia="ja-JP"/>
              </w:rPr>
              <w:t xml:space="preserve"> </w:t>
            </w:r>
            <w:r w:rsidRPr="001D2C3C">
              <w:rPr>
                <w:rFonts w:ascii="Arial" w:eastAsia="MS Mincho" w:hAnsi="Arial" w:cs="Arial"/>
                <w:color w:val="000000" w:themeColor="text1"/>
                <w:szCs w:val="20"/>
                <w:lang w:val="en-US" w:eastAsia="ja-JP"/>
              </w:rPr>
              <w:t xml:space="preserve">staff involved in the delivery of services </w:t>
            </w:r>
            <w:r w:rsidR="008A7D8A" w:rsidRPr="001D2C3C">
              <w:rPr>
                <w:rFonts w:ascii="Arial" w:eastAsia="MS Mincho" w:hAnsi="Arial" w:cs="Arial"/>
                <w:color w:val="000000" w:themeColor="text1"/>
                <w:szCs w:val="20"/>
                <w:lang w:val="en-US" w:eastAsia="ja-JP"/>
              </w:rPr>
              <w:t>will be supported</w:t>
            </w:r>
            <w:r w:rsidR="00C65B2F" w:rsidRPr="001D2C3C">
              <w:rPr>
                <w:rFonts w:ascii="Arial" w:eastAsia="MS Mincho" w:hAnsi="Arial" w:cs="Arial"/>
                <w:color w:val="000000" w:themeColor="text1"/>
                <w:szCs w:val="20"/>
                <w:lang w:val="en-US" w:eastAsia="ja-JP"/>
              </w:rPr>
              <w:t>,</w:t>
            </w:r>
            <w:r w:rsidR="008A7D8A" w:rsidRPr="001D2C3C">
              <w:rPr>
                <w:rFonts w:ascii="Arial" w:eastAsia="MS Mincho" w:hAnsi="Arial" w:cs="Arial"/>
                <w:color w:val="000000" w:themeColor="text1"/>
                <w:szCs w:val="20"/>
                <w:lang w:val="en-US" w:eastAsia="ja-JP"/>
              </w:rPr>
              <w:t xml:space="preserve"> encouraged</w:t>
            </w:r>
            <w:r w:rsidR="00C65B2F" w:rsidRPr="001D2C3C">
              <w:rPr>
                <w:rFonts w:ascii="Arial" w:eastAsia="MS Mincho" w:hAnsi="Arial" w:cs="Arial"/>
                <w:color w:val="000000" w:themeColor="text1"/>
                <w:szCs w:val="20"/>
                <w:lang w:val="en-US" w:eastAsia="ja-JP"/>
              </w:rPr>
              <w:t xml:space="preserve"> and required</w:t>
            </w:r>
            <w:r w:rsidR="008A7D8A" w:rsidRPr="001D2C3C">
              <w:rPr>
                <w:rFonts w:ascii="Arial" w:eastAsia="MS Mincho" w:hAnsi="Arial" w:cs="Arial"/>
                <w:color w:val="000000" w:themeColor="text1"/>
                <w:szCs w:val="20"/>
                <w:lang w:val="en-US" w:eastAsia="ja-JP"/>
              </w:rPr>
              <w:t xml:space="preserve"> to build and maintain effective key stakeholder relationships by working collaboratively with the following services and staff teams:</w:t>
            </w:r>
          </w:p>
          <w:p w:rsidR="008A7D8A" w:rsidRPr="001D2C3C" w:rsidRDefault="008A7D8A" w:rsidP="00EB717E">
            <w:pPr>
              <w:spacing w:after="0" w:line="240" w:lineRule="auto"/>
              <w:rPr>
                <w:rFonts w:ascii="Arial" w:eastAsia="MS Mincho" w:hAnsi="Arial" w:cs="Arial"/>
                <w:color w:val="000000" w:themeColor="text1"/>
                <w:szCs w:val="20"/>
                <w:lang w:val="en-US" w:eastAsia="ja-JP"/>
              </w:rPr>
            </w:pP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Multi-disciplinary teams with primary care and external agency staff groups</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Mental Health Services - Primary, Secondary, Voluntary</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Diana Princess of Wales Hospital Grimsby</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PHE/</w:t>
            </w:r>
            <w:r w:rsidR="007F7A43" w:rsidRPr="001D2C3C">
              <w:rPr>
                <w:rFonts w:ascii="Arial" w:eastAsia="MS Mincho" w:hAnsi="Arial" w:cs="Arial"/>
                <w:color w:val="000000" w:themeColor="text1"/>
                <w:szCs w:val="20"/>
                <w:lang w:val="en-US" w:eastAsia="ja-JP"/>
              </w:rPr>
              <w:t>LA/</w:t>
            </w:r>
            <w:r w:rsidRPr="001D2C3C">
              <w:rPr>
                <w:rFonts w:ascii="Arial" w:eastAsia="MS Mincho" w:hAnsi="Arial" w:cs="Arial"/>
                <w:color w:val="000000" w:themeColor="text1"/>
                <w:szCs w:val="20"/>
                <w:lang w:val="en-US" w:eastAsia="ja-JP"/>
              </w:rPr>
              <w:t>CCG colleagues and commissioners of services</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Self-Help Groups</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proofErr w:type="spellStart"/>
            <w:r w:rsidRPr="001D2C3C">
              <w:rPr>
                <w:rFonts w:ascii="Arial" w:eastAsia="MS Mincho" w:hAnsi="Arial" w:cs="Arial"/>
                <w:color w:val="000000" w:themeColor="text1"/>
                <w:szCs w:val="20"/>
                <w:lang w:val="en-US" w:eastAsia="ja-JP"/>
              </w:rPr>
              <w:t>Carers</w:t>
            </w:r>
            <w:proofErr w:type="spellEnd"/>
            <w:r w:rsidRPr="001D2C3C">
              <w:rPr>
                <w:rFonts w:ascii="Arial" w:eastAsia="MS Mincho" w:hAnsi="Arial" w:cs="Arial"/>
                <w:color w:val="000000" w:themeColor="text1"/>
                <w:szCs w:val="20"/>
                <w:lang w:val="en-US" w:eastAsia="ja-JP"/>
              </w:rPr>
              <w:t xml:space="preserve"> Groups</w:t>
            </w:r>
          </w:p>
          <w:p w:rsidR="008A7D8A" w:rsidRPr="001D2C3C" w:rsidRDefault="00240E11"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Health &amp; </w:t>
            </w:r>
            <w:r w:rsidR="008A7D8A" w:rsidRPr="001D2C3C">
              <w:rPr>
                <w:rFonts w:ascii="Arial" w:eastAsia="MS Mincho" w:hAnsi="Arial" w:cs="Arial"/>
                <w:color w:val="000000" w:themeColor="text1"/>
                <w:szCs w:val="20"/>
                <w:lang w:val="en-US" w:eastAsia="ja-JP"/>
              </w:rPr>
              <w:t>Social Care Providers</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Third Sector Providers</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Safeguarding Teams</w:t>
            </w:r>
          </w:p>
          <w:p w:rsidR="008A7D8A" w:rsidRPr="001D2C3C" w:rsidRDefault="008A7D8A"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Secondary Drug &amp; Alcohol Service Provider(s)</w:t>
            </w:r>
          </w:p>
          <w:p w:rsidR="008A7D8A" w:rsidRPr="001D2C3C" w:rsidRDefault="000F63CB"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Criminal Justice Services</w:t>
            </w:r>
          </w:p>
          <w:p w:rsidR="007F7A43" w:rsidRPr="001D2C3C" w:rsidRDefault="007F7A43"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Police – Probation</w:t>
            </w:r>
          </w:p>
          <w:p w:rsidR="007F7A43" w:rsidRPr="001D2C3C" w:rsidRDefault="007F7A43"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Housing Providers</w:t>
            </w:r>
          </w:p>
          <w:p w:rsidR="007F7A43" w:rsidRPr="001D2C3C" w:rsidRDefault="007F7A43" w:rsidP="008A7D8A">
            <w:pPr>
              <w:pStyle w:val="ListParagraph"/>
              <w:numPr>
                <w:ilvl w:val="0"/>
                <w:numId w:val="7"/>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Benefits, Employment, Education Providers</w:t>
            </w:r>
          </w:p>
          <w:p w:rsidR="00BC36E8" w:rsidRPr="001D2C3C" w:rsidRDefault="00BC36E8" w:rsidP="00BC36E8">
            <w:pPr>
              <w:pStyle w:val="ListParagraph"/>
              <w:spacing w:after="0" w:line="240" w:lineRule="auto"/>
              <w:rPr>
                <w:rFonts w:ascii="Arial" w:eastAsia="MS Mincho" w:hAnsi="Arial" w:cs="Arial"/>
                <w:color w:val="000000" w:themeColor="text1"/>
                <w:szCs w:val="20"/>
                <w:lang w:val="en-US" w:eastAsia="ja-JP"/>
              </w:rPr>
            </w:pPr>
          </w:p>
          <w:p w:rsidR="00490E7B" w:rsidRPr="001D2C3C" w:rsidRDefault="00490E7B" w:rsidP="00EB717E">
            <w:pPr>
              <w:spacing w:after="0" w:line="240" w:lineRule="auto"/>
              <w:rPr>
                <w:rFonts w:ascii="Arial" w:eastAsia="MS Mincho" w:hAnsi="Arial" w:cs="Arial"/>
                <w:color w:val="000000" w:themeColor="text1"/>
                <w:szCs w:val="20"/>
                <w:lang w:val="en-US" w:eastAsia="ja-JP"/>
              </w:rPr>
            </w:pPr>
          </w:p>
          <w:p w:rsidR="00EB717E" w:rsidRPr="001D2C3C" w:rsidRDefault="00C61C2F" w:rsidP="00080E3A">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GPIP </w:t>
            </w:r>
            <w:r w:rsidR="007F7A43" w:rsidRPr="001D2C3C">
              <w:rPr>
                <w:rFonts w:ascii="Arial" w:eastAsia="MS Mincho" w:hAnsi="Arial" w:cs="Arial"/>
                <w:color w:val="000000" w:themeColor="text1"/>
                <w:szCs w:val="20"/>
                <w:lang w:val="en-US" w:eastAsia="ja-JP"/>
              </w:rPr>
              <w:t xml:space="preserve">Internal &amp; External </w:t>
            </w:r>
            <w:r w:rsidR="00F80C77" w:rsidRPr="001D2C3C">
              <w:rPr>
                <w:rFonts w:ascii="Arial" w:eastAsia="MS Mincho" w:hAnsi="Arial" w:cs="Arial"/>
                <w:color w:val="000000" w:themeColor="text1"/>
                <w:szCs w:val="20"/>
                <w:lang w:val="en-US" w:eastAsia="ja-JP"/>
              </w:rPr>
              <w:t>Pathways</w:t>
            </w:r>
            <w:r w:rsidR="00CE64E7">
              <w:rPr>
                <w:rFonts w:ascii="Arial" w:eastAsia="MS Mincho" w:hAnsi="Arial" w:cs="Arial"/>
                <w:color w:val="000000" w:themeColor="text1"/>
                <w:szCs w:val="20"/>
                <w:lang w:val="en-US" w:eastAsia="ja-JP"/>
              </w:rPr>
              <w:t xml:space="preserve"> - (to be developed and maintained by provider to meet NHS and PH Outcomes frameworks together with the NEL CCG and NEL Council strategic objectives)</w:t>
            </w:r>
          </w:p>
          <w:p w:rsidR="00C61C2F" w:rsidRPr="001D2C3C" w:rsidRDefault="00C61C2F" w:rsidP="00A3344D">
            <w:pPr>
              <w:spacing w:after="0" w:line="240" w:lineRule="auto"/>
              <w:jc w:val="center"/>
              <w:rPr>
                <w:rFonts w:ascii="Arial" w:eastAsia="MS Mincho" w:hAnsi="Arial" w:cs="Arial"/>
                <w:color w:val="000000" w:themeColor="text1"/>
                <w:szCs w:val="20"/>
                <w:lang w:val="en-US" w:eastAsia="ja-JP"/>
              </w:rPr>
            </w:pPr>
          </w:p>
          <w:p w:rsidR="00A3344D" w:rsidRPr="001D2C3C" w:rsidRDefault="00A3344D" w:rsidP="00A3344D">
            <w:pPr>
              <w:pStyle w:val="ListParagraph"/>
              <w:numPr>
                <w:ilvl w:val="0"/>
                <w:numId w:val="5"/>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Drug Misusing Parents</w:t>
            </w:r>
          </w:p>
          <w:p w:rsidR="00A3344D" w:rsidRPr="001D2C3C" w:rsidRDefault="00A3344D" w:rsidP="00A3344D">
            <w:pPr>
              <w:pStyle w:val="ListParagraph"/>
              <w:numPr>
                <w:ilvl w:val="0"/>
                <w:numId w:val="5"/>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External Referrals</w:t>
            </w:r>
          </w:p>
          <w:p w:rsidR="00A3344D" w:rsidRPr="001D2C3C" w:rsidRDefault="00A3344D" w:rsidP="00A3344D">
            <w:pPr>
              <w:pStyle w:val="ListParagraph"/>
              <w:numPr>
                <w:ilvl w:val="0"/>
                <w:numId w:val="5"/>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Internal Provision</w:t>
            </w:r>
          </w:p>
          <w:p w:rsidR="00A3344D" w:rsidRPr="001D2C3C" w:rsidRDefault="00A3344D" w:rsidP="00A3344D">
            <w:pPr>
              <w:pStyle w:val="ListParagraph"/>
              <w:numPr>
                <w:ilvl w:val="0"/>
                <w:numId w:val="5"/>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Pregnancy – Drug Misuse</w:t>
            </w:r>
          </w:p>
          <w:p w:rsidR="00A3344D" w:rsidRPr="001D2C3C" w:rsidRDefault="00A3344D" w:rsidP="00A3344D">
            <w:pPr>
              <w:pStyle w:val="ListParagraph"/>
              <w:numPr>
                <w:ilvl w:val="0"/>
                <w:numId w:val="5"/>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Responsibility Agreement</w:t>
            </w:r>
          </w:p>
          <w:p w:rsidR="00A3344D" w:rsidRPr="001D2C3C" w:rsidRDefault="00A3344D" w:rsidP="00A3344D">
            <w:pPr>
              <w:pStyle w:val="ListParagraph"/>
              <w:numPr>
                <w:ilvl w:val="0"/>
                <w:numId w:val="5"/>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Governance Table</w:t>
            </w:r>
          </w:p>
          <w:p w:rsidR="00A3344D" w:rsidRPr="001D2C3C" w:rsidRDefault="00A3344D" w:rsidP="00A3344D">
            <w:pPr>
              <w:pStyle w:val="ListParagraph"/>
              <w:numPr>
                <w:ilvl w:val="0"/>
                <w:numId w:val="5"/>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GPIP Service Leaflet</w:t>
            </w:r>
          </w:p>
          <w:p w:rsidR="007E0B41" w:rsidRDefault="007E0B41" w:rsidP="00A3344D">
            <w:pPr>
              <w:spacing w:after="0" w:line="240" w:lineRule="auto"/>
              <w:rPr>
                <w:rFonts w:ascii="Arial" w:eastAsia="MS Mincho" w:hAnsi="Arial" w:cs="Arial"/>
                <w:color w:val="000000" w:themeColor="text1"/>
                <w:szCs w:val="20"/>
                <w:lang w:val="en-US" w:eastAsia="ja-JP"/>
              </w:rPr>
            </w:pPr>
          </w:p>
          <w:p w:rsidR="00276B15" w:rsidRPr="001D2C3C" w:rsidRDefault="00276B15" w:rsidP="00A3344D">
            <w:pPr>
              <w:spacing w:after="0" w:line="240" w:lineRule="auto"/>
              <w:rPr>
                <w:rFonts w:ascii="Arial" w:eastAsia="MS Mincho" w:hAnsi="Arial" w:cs="Arial"/>
                <w:color w:val="000000" w:themeColor="text1"/>
                <w:szCs w:val="20"/>
                <w:lang w:val="en-US" w:eastAsia="ja-JP"/>
              </w:rPr>
            </w:pPr>
          </w:p>
          <w:p w:rsidR="00EB717E" w:rsidRDefault="00EB717E" w:rsidP="00EB717E">
            <w:pPr>
              <w:spacing w:after="0" w:line="240" w:lineRule="auto"/>
              <w:rPr>
                <w:rFonts w:ascii="Arial" w:eastAsia="MS Mincho" w:hAnsi="Arial" w:cs="Arial"/>
                <w:color w:val="000000" w:themeColor="text1"/>
                <w:szCs w:val="20"/>
                <w:lang w:val="en-US" w:eastAsia="ja-JP"/>
              </w:rPr>
            </w:pPr>
          </w:p>
          <w:p w:rsidR="00276B15" w:rsidRDefault="00276B15" w:rsidP="00EB717E">
            <w:pPr>
              <w:spacing w:after="0" w:line="240" w:lineRule="auto"/>
              <w:rPr>
                <w:rFonts w:ascii="Arial" w:eastAsia="MS Mincho" w:hAnsi="Arial" w:cs="Arial"/>
                <w:color w:val="000000" w:themeColor="text1"/>
                <w:szCs w:val="20"/>
                <w:lang w:val="en-US" w:eastAsia="ja-JP"/>
              </w:rPr>
            </w:pPr>
          </w:p>
          <w:p w:rsidR="00276B15" w:rsidRPr="001D2C3C" w:rsidRDefault="00276B15" w:rsidP="00EB717E">
            <w:pPr>
              <w:spacing w:after="0" w:line="240" w:lineRule="auto"/>
              <w:rPr>
                <w:rFonts w:ascii="Arial" w:eastAsia="MS Mincho" w:hAnsi="Arial" w:cs="Arial"/>
                <w:color w:val="000000" w:themeColor="text1"/>
                <w:szCs w:val="20"/>
                <w:lang w:val="en-US" w:eastAsia="ja-JP"/>
              </w:rPr>
            </w:pPr>
            <w:bookmarkStart w:id="2" w:name="_GoBack"/>
            <w:bookmarkEnd w:id="2"/>
          </w:p>
        </w:tc>
      </w:tr>
      <w:tr w:rsidR="00EB717E" w:rsidRPr="00EB717E" w:rsidTr="00274AD9">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lastRenderedPageBreak/>
              <w:t>4.</w:t>
            </w:r>
            <w:r w:rsidRPr="00EB717E">
              <w:rPr>
                <w:rFonts w:ascii="Arial" w:eastAsia="MS Mincho" w:hAnsi="Arial" w:cs="Arial"/>
                <w:b/>
                <w:color w:val="F79646"/>
                <w:sz w:val="24"/>
                <w:szCs w:val="20"/>
                <w:lang w:val="en-US" w:eastAsia="ja-JP"/>
              </w:rPr>
              <w:tab/>
              <w:t>Applicable Service Standards</w:t>
            </w:r>
          </w:p>
        </w:tc>
      </w:tr>
      <w:tr w:rsidR="00080E3A" w:rsidRPr="001D2C3C" w:rsidTr="00274AD9">
        <w:tc>
          <w:tcPr>
            <w:tcW w:w="8414" w:type="dxa"/>
            <w:shd w:val="clear" w:color="auto" w:fill="auto"/>
          </w:tcPr>
          <w:p w:rsidR="00080E3A" w:rsidRPr="001D2C3C" w:rsidRDefault="00080E3A" w:rsidP="00EB717E">
            <w:pPr>
              <w:spacing w:after="0" w:line="240" w:lineRule="auto"/>
              <w:rPr>
                <w:rFonts w:ascii="Arial" w:eastAsia="MS Mincho" w:hAnsi="Arial" w:cs="Arial"/>
                <w:color w:val="000000" w:themeColor="text1"/>
                <w:szCs w:val="20"/>
                <w:lang w:val="en-US" w:eastAsia="ja-JP"/>
              </w:rPr>
            </w:pPr>
          </w:p>
          <w:p w:rsidR="00824E14" w:rsidRPr="001D2C3C" w:rsidRDefault="00EB717E"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b/>
                <w:color w:val="000000" w:themeColor="text1"/>
                <w:szCs w:val="20"/>
                <w:lang w:val="en-US" w:eastAsia="ja-JP"/>
              </w:rPr>
              <w:t>4.1</w:t>
            </w:r>
            <w:r w:rsidRPr="001D2C3C">
              <w:rPr>
                <w:rFonts w:ascii="Arial" w:eastAsia="MS Mincho" w:hAnsi="Arial" w:cs="Arial"/>
                <w:b/>
                <w:color w:val="000000" w:themeColor="text1"/>
                <w:szCs w:val="20"/>
                <w:lang w:val="en-US" w:eastAsia="ja-JP"/>
              </w:rPr>
              <w:tab/>
              <w:t xml:space="preserve">Applicable national standards </w:t>
            </w:r>
          </w:p>
          <w:p w:rsidR="00090E73" w:rsidRPr="00090E73" w:rsidRDefault="00090E73" w:rsidP="00090E73">
            <w:pPr>
              <w:numPr>
                <w:ilvl w:val="0"/>
                <w:numId w:val="6"/>
              </w:numPr>
              <w:spacing w:after="120" w:line="240" w:lineRule="auto"/>
              <w:rPr>
                <w:rFonts w:ascii="Arial" w:hAnsi="Arial" w:cs="Arial"/>
                <w:lang w:eastAsia="en-GB"/>
              </w:rPr>
            </w:pPr>
            <w:r w:rsidRPr="00090E73">
              <w:rPr>
                <w:rFonts w:ascii="Arial" w:hAnsi="Arial" w:cs="Arial"/>
                <w:lang w:eastAsia="en-GB"/>
              </w:rPr>
              <w:t>NICE Clinical Guideline 51: Drug misuse – psychosocial interventions</w:t>
            </w:r>
          </w:p>
          <w:p w:rsidR="00090E73" w:rsidRPr="00090E73" w:rsidRDefault="00090E73" w:rsidP="00090E73">
            <w:pPr>
              <w:numPr>
                <w:ilvl w:val="0"/>
                <w:numId w:val="6"/>
              </w:numPr>
              <w:spacing w:after="120" w:line="240" w:lineRule="auto"/>
              <w:rPr>
                <w:rFonts w:ascii="Arial" w:hAnsi="Arial" w:cs="Arial"/>
                <w:lang w:eastAsia="en-GB"/>
              </w:rPr>
            </w:pPr>
            <w:r w:rsidRPr="00090E73">
              <w:rPr>
                <w:rFonts w:ascii="Arial" w:hAnsi="Arial" w:cs="Arial"/>
                <w:lang w:eastAsia="en-GB"/>
              </w:rPr>
              <w:t>NICE Clinical Guideline 52: Drug misuse – opioid detoxification</w:t>
            </w:r>
          </w:p>
          <w:p w:rsidR="00090E73" w:rsidRPr="00090E73" w:rsidRDefault="00090E73" w:rsidP="00090E73">
            <w:pPr>
              <w:numPr>
                <w:ilvl w:val="0"/>
                <w:numId w:val="6"/>
              </w:numPr>
              <w:spacing w:after="120" w:line="240" w:lineRule="auto"/>
              <w:rPr>
                <w:rFonts w:ascii="Arial" w:hAnsi="Arial" w:cs="Arial"/>
                <w:lang w:eastAsia="en-GB"/>
              </w:rPr>
            </w:pPr>
            <w:r w:rsidRPr="00090E73">
              <w:rPr>
                <w:rFonts w:ascii="Arial" w:hAnsi="Arial" w:cs="Arial"/>
                <w:lang w:eastAsia="en-GB"/>
              </w:rPr>
              <w:t>NICE Technology Appraisal 114: Methadone and buprenorphine for the management of opioid dependence</w:t>
            </w:r>
          </w:p>
          <w:p w:rsidR="00824E14" w:rsidRPr="001D2C3C" w:rsidRDefault="00824E1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Department of health: The NHS Outcomes Framework (2010/11/12)</w:t>
            </w:r>
          </w:p>
          <w:p w:rsidR="00824E14" w:rsidRPr="001D2C3C" w:rsidRDefault="00824E1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HM Government: Protecting Families and Communities (2008-2018)</w:t>
            </w:r>
          </w:p>
          <w:p w:rsidR="00824E14" w:rsidRPr="001D2C3C" w:rsidRDefault="00824E1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Lamming Report (2009)</w:t>
            </w:r>
          </w:p>
          <w:p w:rsidR="00824E14" w:rsidRPr="001D2C3C" w:rsidRDefault="00824E1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Children Act (2004</w:t>
            </w:r>
            <w:r w:rsidR="00E76C9A" w:rsidRPr="001D2C3C">
              <w:rPr>
                <w:rFonts w:ascii="Arial" w:eastAsia="MS Mincho" w:hAnsi="Arial" w:cs="Arial"/>
                <w:color w:val="000000" w:themeColor="text1"/>
                <w:szCs w:val="20"/>
                <w:lang w:val="en-US" w:eastAsia="ja-JP"/>
              </w:rPr>
              <w:t>)</w:t>
            </w:r>
          </w:p>
          <w:p w:rsidR="00E76C9A" w:rsidRPr="001D2C3C" w:rsidRDefault="00E76C9A"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Working Together to safeguard Children (HM Government 2013)</w:t>
            </w:r>
          </w:p>
          <w:p w:rsidR="00E76C9A" w:rsidRPr="001D2C3C" w:rsidRDefault="00E76C9A"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Care Act (2014)</w:t>
            </w:r>
          </w:p>
          <w:p w:rsidR="00E76C9A" w:rsidRPr="001D2C3C" w:rsidRDefault="00AF3780"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Misuse of Drugs Regulations (1985)</w:t>
            </w:r>
          </w:p>
          <w:p w:rsidR="00AF3780" w:rsidRPr="001D2C3C" w:rsidRDefault="00AF3780"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Department of Health: Equity and Excellence: Liberating the NHS (2010)</w:t>
            </w:r>
          </w:p>
          <w:p w:rsidR="00EE57C9" w:rsidRPr="001D2C3C" w:rsidRDefault="00AF3780"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PHE Guidelines on the Management of Substance Misuse and dependence</w:t>
            </w:r>
          </w:p>
          <w:p w:rsidR="00AF3780" w:rsidRPr="001D2C3C" w:rsidRDefault="00AF3780" w:rsidP="006C1FA1">
            <w:pPr>
              <w:pStyle w:val="ListParagraph"/>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 (awaiting)</w:t>
            </w:r>
          </w:p>
          <w:p w:rsidR="006C1FA1" w:rsidRPr="001D2C3C" w:rsidRDefault="006C1FA1"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Acute &amp; Chronic Harms of Club Drugs &amp; Novel Psychoactive Drugs (</w:t>
            </w:r>
            <w:r w:rsidR="00FD4658" w:rsidRPr="001D2C3C">
              <w:rPr>
                <w:rFonts w:ascii="Arial" w:eastAsia="MS Mincho" w:hAnsi="Arial" w:cs="Arial"/>
                <w:color w:val="000000" w:themeColor="text1"/>
                <w:szCs w:val="20"/>
                <w:lang w:val="en-US" w:eastAsia="ja-JP"/>
              </w:rPr>
              <w:t xml:space="preserve">Neptune </w:t>
            </w:r>
            <w:r w:rsidRPr="001D2C3C">
              <w:rPr>
                <w:rFonts w:ascii="Arial" w:eastAsia="MS Mincho" w:hAnsi="Arial" w:cs="Arial"/>
                <w:color w:val="000000" w:themeColor="text1"/>
                <w:szCs w:val="20"/>
                <w:lang w:val="en-US" w:eastAsia="ja-JP"/>
              </w:rPr>
              <w:t>2015)</w:t>
            </w:r>
          </w:p>
          <w:p w:rsidR="00EB717E" w:rsidRPr="00090E73" w:rsidRDefault="00FD4658" w:rsidP="00EB717E">
            <w:pPr>
              <w:pStyle w:val="ListParagraph"/>
              <w:numPr>
                <w:ilvl w:val="0"/>
                <w:numId w:val="6"/>
              </w:numPr>
              <w:spacing w:after="0" w:line="240" w:lineRule="auto"/>
              <w:rPr>
                <w:rFonts w:ascii="Arial" w:eastAsia="MS Mincho" w:hAnsi="Arial" w:cs="Arial"/>
                <w:color w:val="000000" w:themeColor="text1"/>
                <w:szCs w:val="20"/>
                <w:lang w:val="en-US" w:eastAsia="ja-JP"/>
              </w:rPr>
            </w:pPr>
            <w:r w:rsidRPr="00090E73">
              <w:rPr>
                <w:rFonts w:ascii="Arial" w:eastAsia="MS Mincho" w:hAnsi="Arial" w:cs="Arial"/>
                <w:color w:val="000000" w:themeColor="text1"/>
                <w:szCs w:val="20"/>
                <w:lang w:val="en-US" w:eastAsia="ja-JP"/>
              </w:rPr>
              <w:t>Patients with Drug Problems: How Treatment Helps Families (NHS 2012)</w:t>
            </w:r>
          </w:p>
          <w:p w:rsidR="00EB717E" w:rsidRPr="001D2C3C" w:rsidRDefault="00EB717E" w:rsidP="00EB717E">
            <w:pPr>
              <w:spacing w:after="0" w:line="240" w:lineRule="auto"/>
              <w:rPr>
                <w:rFonts w:ascii="Arial" w:eastAsia="MS Mincho" w:hAnsi="Arial" w:cs="Arial"/>
                <w:color w:val="000000" w:themeColor="text1"/>
                <w:szCs w:val="20"/>
                <w:lang w:val="en-US" w:eastAsia="ja-JP"/>
              </w:rPr>
            </w:pPr>
          </w:p>
          <w:p w:rsidR="00EB717E" w:rsidRPr="001D2C3C" w:rsidRDefault="00EB717E" w:rsidP="00EB717E">
            <w:pPr>
              <w:spacing w:after="0" w:line="240" w:lineRule="auto"/>
              <w:ind w:left="743" w:hanging="743"/>
              <w:rPr>
                <w:rFonts w:ascii="Arial" w:eastAsia="MS Mincho" w:hAnsi="Arial" w:cs="Arial"/>
                <w:b/>
                <w:color w:val="000000" w:themeColor="text1"/>
                <w:szCs w:val="20"/>
                <w:lang w:val="en-US" w:eastAsia="ja-JP"/>
              </w:rPr>
            </w:pPr>
            <w:r w:rsidRPr="001D2C3C">
              <w:rPr>
                <w:rFonts w:ascii="Arial" w:eastAsia="MS Mincho" w:hAnsi="Arial" w:cs="Arial"/>
                <w:b/>
                <w:color w:val="000000" w:themeColor="text1"/>
                <w:szCs w:val="20"/>
                <w:lang w:val="en-US" w:eastAsia="ja-JP"/>
              </w:rPr>
              <w:t>4.2</w:t>
            </w:r>
            <w:r w:rsidRPr="001D2C3C">
              <w:rPr>
                <w:rFonts w:ascii="Arial" w:eastAsia="MS Mincho" w:hAnsi="Arial" w:cs="Arial"/>
                <w:b/>
                <w:color w:val="000000" w:themeColor="text1"/>
                <w:szCs w:val="20"/>
                <w:lang w:val="en-US" w:eastAsia="ja-JP"/>
              </w:rPr>
              <w:tab/>
              <w:t>Applicable standards set out in Guidance and/or issued by a competent body (</w:t>
            </w:r>
            <w:proofErr w:type="spellStart"/>
            <w:r w:rsidRPr="001D2C3C">
              <w:rPr>
                <w:rFonts w:ascii="Arial" w:eastAsia="MS Mincho" w:hAnsi="Arial" w:cs="Arial"/>
                <w:b/>
                <w:color w:val="000000" w:themeColor="text1"/>
                <w:szCs w:val="20"/>
                <w:lang w:val="en-US" w:eastAsia="ja-JP"/>
              </w:rPr>
              <w:t>eg</w:t>
            </w:r>
            <w:proofErr w:type="spellEnd"/>
            <w:r w:rsidRPr="001D2C3C">
              <w:rPr>
                <w:rFonts w:ascii="Arial" w:eastAsia="MS Mincho" w:hAnsi="Arial" w:cs="Arial"/>
                <w:b/>
                <w:color w:val="000000" w:themeColor="text1"/>
                <w:szCs w:val="20"/>
                <w:lang w:val="en-US" w:eastAsia="ja-JP"/>
              </w:rPr>
              <w:t xml:space="preserve"> Royal Colleges) </w:t>
            </w:r>
          </w:p>
          <w:p w:rsidR="00897A7F" w:rsidRPr="001D2C3C" w:rsidRDefault="00897A7F" w:rsidP="00897A7F">
            <w:pPr>
              <w:spacing w:after="0" w:line="240" w:lineRule="auto"/>
              <w:rPr>
                <w:rFonts w:ascii="Arial" w:eastAsia="MS Mincho" w:hAnsi="Arial" w:cs="Arial"/>
                <w:color w:val="000000" w:themeColor="text1"/>
                <w:szCs w:val="20"/>
                <w:lang w:val="en-US" w:eastAsia="ja-JP"/>
              </w:rPr>
            </w:pPr>
          </w:p>
          <w:p w:rsidR="00897A7F" w:rsidRPr="001D2C3C" w:rsidRDefault="00897A7F"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Lead GP qualified</w:t>
            </w:r>
            <w:r w:rsidR="002055EE" w:rsidRPr="001D2C3C">
              <w:rPr>
                <w:rFonts w:ascii="Arial" w:eastAsia="MS Mincho" w:hAnsi="Arial" w:cs="Arial"/>
                <w:color w:val="000000" w:themeColor="text1"/>
                <w:szCs w:val="20"/>
                <w:lang w:val="en-US" w:eastAsia="ja-JP"/>
              </w:rPr>
              <w:t xml:space="preserve"> to RCGP level 2 D</w:t>
            </w:r>
            <w:r w:rsidRPr="001D2C3C">
              <w:rPr>
                <w:rFonts w:ascii="Arial" w:eastAsia="MS Mincho" w:hAnsi="Arial" w:cs="Arial"/>
                <w:color w:val="000000" w:themeColor="text1"/>
                <w:szCs w:val="20"/>
                <w:lang w:val="en-US" w:eastAsia="ja-JP"/>
              </w:rPr>
              <w:t xml:space="preserve">iploma in </w:t>
            </w:r>
            <w:r w:rsidR="002055EE" w:rsidRPr="001D2C3C">
              <w:rPr>
                <w:rFonts w:ascii="Arial" w:eastAsia="MS Mincho" w:hAnsi="Arial" w:cs="Arial"/>
                <w:color w:val="000000" w:themeColor="text1"/>
                <w:szCs w:val="20"/>
                <w:lang w:val="en-US" w:eastAsia="ja-JP"/>
              </w:rPr>
              <w:t>the Management of Substance M</w:t>
            </w:r>
            <w:r w:rsidRPr="001D2C3C">
              <w:rPr>
                <w:rFonts w:ascii="Arial" w:eastAsia="MS Mincho" w:hAnsi="Arial" w:cs="Arial"/>
                <w:color w:val="000000" w:themeColor="text1"/>
                <w:szCs w:val="20"/>
                <w:lang w:val="en-US" w:eastAsia="ja-JP"/>
              </w:rPr>
              <w:t>isuse and other relevant</w:t>
            </w:r>
            <w:r w:rsidR="002055EE" w:rsidRPr="001D2C3C">
              <w:rPr>
                <w:rFonts w:ascii="Arial" w:eastAsia="MS Mincho" w:hAnsi="Arial" w:cs="Arial"/>
                <w:color w:val="000000" w:themeColor="text1"/>
                <w:szCs w:val="20"/>
                <w:lang w:val="en-US" w:eastAsia="ja-JP"/>
              </w:rPr>
              <w:t xml:space="preserve"> RCGP e-learning modules (examples could be Hepatitis A/B/C, Alcohol Management in Primary Care</w:t>
            </w:r>
          </w:p>
          <w:p w:rsidR="008D49E2" w:rsidRPr="001D2C3C" w:rsidRDefault="008D49E2"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Prescribing GPs will have a minimum RCGP level 1 qualification in the Management of Substance Misuse</w:t>
            </w:r>
            <w:r w:rsidR="008B2DC4" w:rsidRPr="001D2C3C">
              <w:rPr>
                <w:rFonts w:ascii="Arial" w:eastAsia="MS Mincho" w:hAnsi="Arial" w:cs="Arial"/>
                <w:color w:val="000000" w:themeColor="text1"/>
                <w:szCs w:val="20"/>
                <w:lang w:val="en-US" w:eastAsia="ja-JP"/>
              </w:rPr>
              <w:t xml:space="preserve"> and other relevant modules</w:t>
            </w:r>
            <w:r w:rsidR="007C0E3E" w:rsidRPr="001D2C3C">
              <w:rPr>
                <w:rFonts w:ascii="Arial" w:eastAsia="MS Mincho" w:hAnsi="Arial" w:cs="Arial"/>
                <w:color w:val="000000" w:themeColor="text1"/>
                <w:szCs w:val="20"/>
                <w:lang w:val="en-US" w:eastAsia="ja-JP"/>
              </w:rPr>
              <w:t xml:space="preserve"> RCGP</w:t>
            </w:r>
            <w:r w:rsidR="008B2DC4" w:rsidRPr="001D2C3C">
              <w:rPr>
                <w:rFonts w:ascii="Arial" w:eastAsia="MS Mincho" w:hAnsi="Arial" w:cs="Arial"/>
                <w:color w:val="000000" w:themeColor="text1"/>
                <w:szCs w:val="20"/>
                <w:lang w:val="en-US" w:eastAsia="ja-JP"/>
              </w:rPr>
              <w:t xml:space="preserve"> e-learning modules such as</w:t>
            </w:r>
            <w:r w:rsidRPr="001D2C3C">
              <w:rPr>
                <w:rFonts w:ascii="Arial" w:eastAsia="MS Mincho" w:hAnsi="Arial" w:cs="Arial"/>
                <w:color w:val="000000" w:themeColor="text1"/>
                <w:szCs w:val="20"/>
                <w:lang w:val="en-US" w:eastAsia="ja-JP"/>
              </w:rPr>
              <w:t xml:space="preserve"> Alcohol Management in Primary Care</w:t>
            </w:r>
            <w:r w:rsidR="008B2DC4" w:rsidRPr="001D2C3C">
              <w:rPr>
                <w:rFonts w:ascii="Arial" w:eastAsia="MS Mincho" w:hAnsi="Arial" w:cs="Arial"/>
                <w:color w:val="000000" w:themeColor="text1"/>
                <w:szCs w:val="20"/>
                <w:lang w:val="en-US" w:eastAsia="ja-JP"/>
              </w:rPr>
              <w:t>, Hepatitis A/B/C</w:t>
            </w:r>
          </w:p>
          <w:p w:rsidR="00D04C0B" w:rsidRPr="001D2C3C" w:rsidRDefault="00C61C2F"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GPIP service and a</w:t>
            </w:r>
            <w:r w:rsidR="00D04C0B" w:rsidRPr="001D2C3C">
              <w:rPr>
                <w:rFonts w:ascii="Arial" w:eastAsia="MS Mincho" w:hAnsi="Arial" w:cs="Arial"/>
                <w:color w:val="000000" w:themeColor="text1"/>
                <w:szCs w:val="20"/>
                <w:lang w:val="en-US" w:eastAsia="ja-JP"/>
              </w:rPr>
              <w:t>ll prescribing GPs will comply with GMC CPD requirements</w:t>
            </w:r>
            <w:r w:rsidR="00180906" w:rsidRPr="001D2C3C">
              <w:rPr>
                <w:rFonts w:ascii="Arial" w:eastAsia="MS Mincho" w:hAnsi="Arial" w:cs="Arial"/>
                <w:color w:val="000000" w:themeColor="text1"/>
                <w:szCs w:val="20"/>
                <w:lang w:val="en-US" w:eastAsia="ja-JP"/>
              </w:rPr>
              <w:t xml:space="preserve"> and GPIP Governance table requirements</w:t>
            </w:r>
          </w:p>
          <w:p w:rsidR="00897A7F" w:rsidRPr="001D2C3C" w:rsidRDefault="002055EE"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Drug &amp; Alcohol Practitioners &amp; the Service Manager </w:t>
            </w:r>
            <w:r w:rsidR="00527154" w:rsidRPr="001D2C3C">
              <w:rPr>
                <w:rFonts w:ascii="Arial" w:eastAsia="MS Mincho" w:hAnsi="Arial" w:cs="Arial"/>
                <w:color w:val="000000" w:themeColor="text1"/>
                <w:szCs w:val="20"/>
                <w:lang w:val="en-US" w:eastAsia="ja-JP"/>
              </w:rPr>
              <w:t>will meet the required qualification</w:t>
            </w:r>
            <w:r w:rsidR="008A2349" w:rsidRPr="001D2C3C">
              <w:rPr>
                <w:rFonts w:ascii="Arial" w:eastAsia="MS Mincho" w:hAnsi="Arial" w:cs="Arial"/>
                <w:color w:val="000000" w:themeColor="text1"/>
                <w:szCs w:val="20"/>
                <w:lang w:val="en-US" w:eastAsia="ja-JP"/>
              </w:rPr>
              <w:t>s and</w:t>
            </w:r>
            <w:r w:rsidR="00527154" w:rsidRPr="001D2C3C">
              <w:rPr>
                <w:rFonts w:ascii="Arial" w:eastAsia="MS Mincho" w:hAnsi="Arial" w:cs="Arial"/>
                <w:color w:val="000000" w:themeColor="text1"/>
                <w:szCs w:val="20"/>
                <w:lang w:val="en-US" w:eastAsia="ja-JP"/>
              </w:rPr>
              <w:t xml:space="preserve"> training </w:t>
            </w:r>
            <w:r w:rsidR="008A2349" w:rsidRPr="001D2C3C">
              <w:rPr>
                <w:rFonts w:ascii="Arial" w:eastAsia="MS Mincho" w:hAnsi="Arial" w:cs="Arial"/>
                <w:color w:val="000000" w:themeColor="text1"/>
                <w:szCs w:val="20"/>
                <w:lang w:val="en-US" w:eastAsia="ja-JP"/>
              </w:rPr>
              <w:t xml:space="preserve">of the </w:t>
            </w:r>
            <w:r w:rsidR="00897A7F" w:rsidRPr="001D2C3C">
              <w:rPr>
                <w:rFonts w:ascii="Arial" w:eastAsia="MS Mincho" w:hAnsi="Arial" w:cs="Arial"/>
                <w:color w:val="000000" w:themeColor="text1"/>
                <w:szCs w:val="20"/>
                <w:lang w:val="en-US" w:eastAsia="ja-JP"/>
              </w:rPr>
              <w:t>Drug &amp; Alcohol National Occupational Standards (DANOS)</w:t>
            </w:r>
            <w:r w:rsidR="008A2349" w:rsidRPr="001D2C3C">
              <w:rPr>
                <w:rFonts w:ascii="Arial" w:eastAsia="MS Mincho" w:hAnsi="Arial" w:cs="Arial"/>
                <w:color w:val="000000" w:themeColor="text1"/>
                <w:szCs w:val="20"/>
                <w:lang w:val="en-US" w:eastAsia="ja-JP"/>
              </w:rPr>
              <w:t xml:space="preserve"> and receive continuous development training as appropriate</w:t>
            </w:r>
          </w:p>
          <w:p w:rsidR="008A2349" w:rsidRPr="001D2C3C" w:rsidRDefault="008A2349"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Service Manager will be supervised and appraised by the lead GP</w:t>
            </w:r>
          </w:p>
          <w:p w:rsidR="00F21601" w:rsidRPr="001D2C3C" w:rsidRDefault="00F21601"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Primary care nurses and healthcare assistants will comply with their own registration/surgery polices, protocols, guidance</w:t>
            </w:r>
            <w:r w:rsidR="008A2349" w:rsidRPr="001D2C3C">
              <w:rPr>
                <w:rFonts w:ascii="Arial" w:eastAsia="MS Mincho" w:hAnsi="Arial" w:cs="Arial"/>
                <w:color w:val="000000" w:themeColor="text1"/>
                <w:szCs w:val="20"/>
                <w:lang w:val="en-US" w:eastAsia="ja-JP"/>
              </w:rPr>
              <w:t>, professional development plans</w:t>
            </w:r>
            <w:r w:rsidRPr="001D2C3C">
              <w:rPr>
                <w:rFonts w:ascii="Arial" w:eastAsia="MS Mincho" w:hAnsi="Arial" w:cs="Arial"/>
                <w:color w:val="000000" w:themeColor="text1"/>
                <w:szCs w:val="20"/>
                <w:lang w:val="en-US" w:eastAsia="ja-JP"/>
              </w:rPr>
              <w:t xml:space="preserve"> and requirements</w:t>
            </w:r>
          </w:p>
          <w:p w:rsidR="00983132" w:rsidRPr="001D2C3C" w:rsidRDefault="008A2349"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D &amp; A Practitioners will attend Bi m</w:t>
            </w:r>
            <w:r w:rsidR="00983132" w:rsidRPr="001D2C3C">
              <w:rPr>
                <w:rFonts w:ascii="Arial" w:eastAsia="MS Mincho" w:hAnsi="Arial" w:cs="Arial"/>
                <w:color w:val="000000" w:themeColor="text1"/>
                <w:szCs w:val="20"/>
                <w:lang w:val="en-US" w:eastAsia="ja-JP"/>
              </w:rPr>
              <w:t>onthly group/individual supervision and annual appraisal conducted by the Service Manager</w:t>
            </w:r>
          </w:p>
          <w:p w:rsidR="00983132" w:rsidRPr="001D2C3C" w:rsidRDefault="008A2349"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D &amp; A Practitioners and the team administration worker will attend w</w:t>
            </w:r>
            <w:r w:rsidR="00983132" w:rsidRPr="001D2C3C">
              <w:rPr>
                <w:rFonts w:ascii="Arial" w:eastAsia="MS Mincho" w:hAnsi="Arial" w:cs="Arial"/>
                <w:color w:val="000000" w:themeColor="text1"/>
                <w:szCs w:val="20"/>
                <w:lang w:val="en-US" w:eastAsia="ja-JP"/>
              </w:rPr>
              <w:t>eekly MDT meetings with the Service Manager to discuss case and service management, provide peer support, discuss research</w:t>
            </w:r>
            <w:r w:rsidR="00BA4619" w:rsidRPr="001D2C3C">
              <w:rPr>
                <w:rFonts w:ascii="Arial" w:eastAsia="MS Mincho" w:hAnsi="Arial" w:cs="Arial"/>
                <w:color w:val="000000" w:themeColor="text1"/>
                <w:szCs w:val="20"/>
                <w:lang w:val="en-US" w:eastAsia="ja-JP"/>
              </w:rPr>
              <w:t>,</w:t>
            </w:r>
            <w:r w:rsidR="00983132" w:rsidRPr="001D2C3C">
              <w:rPr>
                <w:rFonts w:ascii="Arial" w:eastAsia="MS Mincho" w:hAnsi="Arial" w:cs="Arial"/>
                <w:color w:val="000000" w:themeColor="text1"/>
                <w:szCs w:val="20"/>
                <w:lang w:val="en-US" w:eastAsia="ja-JP"/>
              </w:rPr>
              <w:t xml:space="preserve"> training and development needs</w:t>
            </w:r>
          </w:p>
          <w:p w:rsidR="00983132" w:rsidRPr="001D2C3C" w:rsidRDefault="00983132" w:rsidP="00983132">
            <w:pPr>
              <w:spacing w:after="0" w:line="240" w:lineRule="auto"/>
              <w:rPr>
                <w:rFonts w:ascii="Arial" w:eastAsia="MS Mincho" w:hAnsi="Arial" w:cs="Arial"/>
                <w:color w:val="000000" w:themeColor="text1"/>
                <w:szCs w:val="20"/>
                <w:lang w:val="en-US" w:eastAsia="ja-JP"/>
              </w:rPr>
            </w:pPr>
          </w:p>
          <w:p w:rsidR="00080E3A" w:rsidRPr="001D2C3C" w:rsidRDefault="00080E3A" w:rsidP="00983132">
            <w:pPr>
              <w:spacing w:after="0" w:line="240" w:lineRule="auto"/>
              <w:rPr>
                <w:rFonts w:ascii="Arial" w:eastAsia="MS Mincho" w:hAnsi="Arial" w:cs="Arial"/>
                <w:color w:val="000000" w:themeColor="text1"/>
                <w:szCs w:val="20"/>
                <w:lang w:val="en-US" w:eastAsia="ja-JP"/>
              </w:rPr>
            </w:pPr>
          </w:p>
          <w:p w:rsidR="00EB717E" w:rsidRPr="001D2C3C" w:rsidRDefault="00EB717E" w:rsidP="00EB717E">
            <w:pPr>
              <w:spacing w:after="0" w:line="240" w:lineRule="auto"/>
              <w:rPr>
                <w:rFonts w:ascii="Arial" w:eastAsia="MS Mincho" w:hAnsi="Arial" w:cs="Arial"/>
                <w:b/>
                <w:color w:val="000000" w:themeColor="text1"/>
                <w:szCs w:val="20"/>
                <w:lang w:val="en-US" w:eastAsia="ja-JP"/>
              </w:rPr>
            </w:pPr>
            <w:r w:rsidRPr="001D2C3C">
              <w:rPr>
                <w:rFonts w:ascii="Arial" w:eastAsia="MS Mincho" w:hAnsi="Arial" w:cs="Arial"/>
                <w:b/>
                <w:color w:val="000000" w:themeColor="text1"/>
                <w:szCs w:val="20"/>
                <w:lang w:val="en-US" w:eastAsia="ja-JP"/>
              </w:rPr>
              <w:t>4.3</w:t>
            </w:r>
            <w:r w:rsidRPr="001D2C3C">
              <w:rPr>
                <w:rFonts w:ascii="Arial" w:eastAsia="MS Mincho" w:hAnsi="Arial" w:cs="Arial"/>
                <w:b/>
                <w:color w:val="000000" w:themeColor="text1"/>
                <w:szCs w:val="20"/>
                <w:lang w:val="en-US" w:eastAsia="ja-JP"/>
              </w:rPr>
              <w:tab/>
              <w:t>Applicable local standards</w:t>
            </w:r>
          </w:p>
          <w:p w:rsidR="00750BC4" w:rsidRPr="001D2C3C" w:rsidRDefault="00750BC4" w:rsidP="00EB717E">
            <w:pPr>
              <w:spacing w:after="0" w:line="240" w:lineRule="auto"/>
              <w:rPr>
                <w:rFonts w:ascii="Arial" w:eastAsia="MS Mincho" w:hAnsi="Arial" w:cs="Arial"/>
                <w:color w:val="000000" w:themeColor="text1"/>
                <w:szCs w:val="20"/>
                <w:lang w:val="en-US" w:eastAsia="ja-JP"/>
              </w:rPr>
            </w:pPr>
          </w:p>
          <w:p w:rsidR="00080E3A" w:rsidRPr="001D2C3C" w:rsidRDefault="00750BC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100% compliance to NDTMS data entry – providing levels of</w:t>
            </w:r>
            <w:r w:rsidR="00663BFB" w:rsidRPr="001D2C3C">
              <w:rPr>
                <w:rFonts w:ascii="Arial" w:eastAsia="MS Mincho" w:hAnsi="Arial" w:cs="Arial"/>
                <w:color w:val="000000" w:themeColor="text1"/>
                <w:szCs w:val="20"/>
                <w:lang w:val="en-US" w:eastAsia="ja-JP"/>
              </w:rPr>
              <w:t xml:space="preserve"> </w:t>
            </w:r>
            <w:r w:rsidR="00ED0291" w:rsidRPr="001D2C3C">
              <w:rPr>
                <w:rFonts w:ascii="Arial" w:eastAsia="MS Mincho" w:hAnsi="Arial" w:cs="Arial"/>
                <w:color w:val="000000" w:themeColor="text1"/>
                <w:szCs w:val="20"/>
                <w:lang w:val="en-US" w:eastAsia="ja-JP"/>
              </w:rPr>
              <w:t xml:space="preserve">activity &amp; </w:t>
            </w:r>
            <w:r w:rsidR="00ED0291" w:rsidRPr="001D2C3C">
              <w:rPr>
                <w:rFonts w:ascii="Arial" w:eastAsia="MS Mincho" w:hAnsi="Arial" w:cs="Arial"/>
                <w:color w:val="000000" w:themeColor="text1"/>
                <w:szCs w:val="20"/>
                <w:lang w:val="en-US" w:eastAsia="ja-JP"/>
              </w:rPr>
              <w:lastRenderedPageBreak/>
              <w:t>outcome evidence of</w:t>
            </w:r>
            <w:r w:rsidR="00C2021C" w:rsidRPr="001D2C3C">
              <w:rPr>
                <w:rFonts w:ascii="Arial" w:eastAsia="MS Mincho" w:hAnsi="Arial" w:cs="Arial"/>
                <w:color w:val="000000" w:themeColor="text1"/>
                <w:szCs w:val="20"/>
                <w:lang w:val="en-US" w:eastAsia="ja-JP"/>
              </w:rPr>
              <w:t xml:space="preserve"> ongoing quality outcomes </w:t>
            </w:r>
            <w:r w:rsidR="00663BFB" w:rsidRPr="001D2C3C">
              <w:rPr>
                <w:rFonts w:ascii="Arial" w:eastAsia="MS Mincho" w:hAnsi="Arial" w:cs="Arial"/>
                <w:color w:val="000000" w:themeColor="text1"/>
                <w:szCs w:val="20"/>
                <w:lang w:val="en-US" w:eastAsia="ja-JP"/>
              </w:rPr>
              <w:t>including</w:t>
            </w:r>
            <w:r w:rsidR="00C2021C" w:rsidRPr="001D2C3C">
              <w:rPr>
                <w:rFonts w:ascii="Arial" w:eastAsia="MS Mincho" w:hAnsi="Arial" w:cs="Arial"/>
                <w:color w:val="000000" w:themeColor="text1"/>
                <w:szCs w:val="20"/>
                <w:lang w:val="en-US" w:eastAsia="ja-JP"/>
              </w:rPr>
              <w:t>:</w:t>
            </w:r>
            <w:r w:rsidR="00D72F06" w:rsidRPr="001D2C3C">
              <w:rPr>
                <w:rFonts w:ascii="Arial" w:eastAsia="MS Mincho" w:hAnsi="Arial" w:cs="Arial"/>
                <w:color w:val="000000" w:themeColor="text1"/>
                <w:szCs w:val="20"/>
                <w:lang w:val="en-US" w:eastAsia="ja-JP"/>
              </w:rPr>
              <w:t xml:space="preserve"> </w:t>
            </w:r>
            <w:r w:rsidR="00CD5EDD" w:rsidRPr="001D2C3C">
              <w:rPr>
                <w:rFonts w:ascii="Arial" w:eastAsia="MS Mincho" w:hAnsi="Arial" w:cs="Arial"/>
                <w:color w:val="000000" w:themeColor="text1"/>
                <w:szCs w:val="20"/>
                <w:lang w:val="en-US" w:eastAsia="ja-JP"/>
              </w:rPr>
              <w:t xml:space="preserve">consent to NDTMS, </w:t>
            </w:r>
            <w:r w:rsidR="00D72F06" w:rsidRPr="001D2C3C">
              <w:rPr>
                <w:rFonts w:ascii="Arial" w:eastAsia="MS Mincho" w:hAnsi="Arial" w:cs="Arial"/>
                <w:color w:val="000000" w:themeColor="text1"/>
                <w:szCs w:val="20"/>
                <w:lang w:val="en-US" w:eastAsia="ja-JP"/>
              </w:rPr>
              <w:t xml:space="preserve">modality start, </w:t>
            </w:r>
            <w:r w:rsidR="00CD5EDD" w:rsidRPr="001D2C3C">
              <w:rPr>
                <w:rFonts w:ascii="Arial" w:eastAsia="MS Mincho" w:hAnsi="Arial" w:cs="Arial"/>
                <w:color w:val="000000" w:themeColor="text1"/>
                <w:szCs w:val="20"/>
                <w:lang w:val="en-US" w:eastAsia="ja-JP"/>
              </w:rPr>
              <w:t xml:space="preserve">problem drug use details, healthcare assessment, </w:t>
            </w:r>
            <w:r w:rsidR="00D72F06" w:rsidRPr="001D2C3C">
              <w:rPr>
                <w:rFonts w:ascii="Arial" w:eastAsia="MS Mincho" w:hAnsi="Arial" w:cs="Arial"/>
                <w:color w:val="000000" w:themeColor="text1"/>
                <w:szCs w:val="20"/>
                <w:lang w:val="en-US" w:eastAsia="ja-JP"/>
              </w:rPr>
              <w:t>discharge status with numbers discharged drug free, non- compliant, transferred to other services, dropped</w:t>
            </w:r>
            <w:r w:rsidR="00CD5EDD" w:rsidRPr="001D2C3C">
              <w:rPr>
                <w:rFonts w:ascii="Arial" w:eastAsia="MS Mincho" w:hAnsi="Arial" w:cs="Arial"/>
                <w:color w:val="000000" w:themeColor="text1"/>
                <w:szCs w:val="20"/>
                <w:lang w:val="en-US" w:eastAsia="ja-JP"/>
              </w:rPr>
              <w:t xml:space="preserve"> out, gone to prison, deceased,</w:t>
            </w:r>
            <w:r w:rsidR="00D72F06" w:rsidRPr="001D2C3C">
              <w:rPr>
                <w:rFonts w:ascii="Arial" w:eastAsia="MS Mincho" w:hAnsi="Arial" w:cs="Arial"/>
                <w:color w:val="000000" w:themeColor="text1"/>
                <w:szCs w:val="20"/>
                <w:lang w:val="en-US" w:eastAsia="ja-JP"/>
              </w:rPr>
              <w:t xml:space="preserve"> care plan start &amp; review, drug &amp; alcohol use over the previous 28 days period, mode/route of drug use, alcohol units consumed, criminal activity, hea</w:t>
            </w:r>
            <w:r w:rsidR="00663BFB" w:rsidRPr="001D2C3C">
              <w:rPr>
                <w:rFonts w:ascii="Arial" w:eastAsia="MS Mincho" w:hAnsi="Arial" w:cs="Arial"/>
                <w:color w:val="000000" w:themeColor="text1"/>
                <w:szCs w:val="20"/>
                <w:lang w:val="en-US" w:eastAsia="ja-JP"/>
              </w:rPr>
              <w:t>lth &amp; social functioning including</w:t>
            </w:r>
            <w:r w:rsidR="00D72F06" w:rsidRPr="001D2C3C">
              <w:rPr>
                <w:rFonts w:ascii="Arial" w:eastAsia="MS Mincho" w:hAnsi="Arial" w:cs="Arial"/>
                <w:color w:val="000000" w:themeColor="text1"/>
                <w:szCs w:val="20"/>
                <w:lang w:val="en-US" w:eastAsia="ja-JP"/>
              </w:rPr>
              <w:t xml:space="preserve"> psychological and physical health and </w:t>
            </w:r>
            <w:r w:rsidR="00CD5EDD" w:rsidRPr="001D2C3C">
              <w:rPr>
                <w:rFonts w:ascii="Arial" w:eastAsia="MS Mincho" w:hAnsi="Arial" w:cs="Arial"/>
                <w:color w:val="000000" w:themeColor="text1"/>
                <w:szCs w:val="20"/>
                <w:lang w:val="en-US" w:eastAsia="ja-JP"/>
              </w:rPr>
              <w:t xml:space="preserve">overall </w:t>
            </w:r>
            <w:r w:rsidR="00D72F06" w:rsidRPr="001D2C3C">
              <w:rPr>
                <w:rFonts w:ascii="Arial" w:eastAsia="MS Mincho" w:hAnsi="Arial" w:cs="Arial"/>
                <w:color w:val="000000" w:themeColor="text1"/>
                <w:szCs w:val="20"/>
                <w:lang w:val="en-US" w:eastAsia="ja-JP"/>
              </w:rPr>
              <w:t xml:space="preserve">quality of life patient </w:t>
            </w:r>
            <w:r w:rsidR="00CD5EDD" w:rsidRPr="001D2C3C">
              <w:rPr>
                <w:rFonts w:ascii="Arial" w:eastAsia="MS Mincho" w:hAnsi="Arial" w:cs="Arial"/>
                <w:color w:val="000000" w:themeColor="text1"/>
                <w:szCs w:val="20"/>
                <w:lang w:val="en-US" w:eastAsia="ja-JP"/>
              </w:rPr>
              <w:t xml:space="preserve">self-scoring scales, </w:t>
            </w:r>
            <w:r w:rsidR="004A1CD0" w:rsidRPr="001D2C3C">
              <w:rPr>
                <w:rFonts w:ascii="Arial" w:eastAsia="MS Mincho" w:hAnsi="Arial" w:cs="Arial"/>
                <w:color w:val="000000" w:themeColor="text1"/>
                <w:szCs w:val="20"/>
                <w:lang w:val="en-US" w:eastAsia="ja-JP"/>
              </w:rPr>
              <w:t>parental status and level of safeguarding such as children in local authority care</w:t>
            </w:r>
            <w:r w:rsidR="00663BFB" w:rsidRPr="001D2C3C">
              <w:rPr>
                <w:rFonts w:ascii="Arial" w:eastAsia="MS Mincho" w:hAnsi="Arial" w:cs="Arial"/>
                <w:color w:val="000000" w:themeColor="text1"/>
                <w:szCs w:val="20"/>
                <w:lang w:val="en-US" w:eastAsia="ja-JP"/>
              </w:rPr>
              <w:t>,</w:t>
            </w:r>
            <w:r w:rsidR="004A1CD0" w:rsidRPr="001D2C3C">
              <w:rPr>
                <w:rFonts w:ascii="Arial" w:eastAsia="MS Mincho" w:hAnsi="Arial" w:cs="Arial"/>
                <w:color w:val="000000" w:themeColor="text1"/>
                <w:szCs w:val="20"/>
                <w:lang w:val="en-US" w:eastAsia="ja-JP"/>
              </w:rPr>
              <w:t xml:space="preserve"> </w:t>
            </w:r>
            <w:r w:rsidR="00CD5EDD" w:rsidRPr="001D2C3C">
              <w:rPr>
                <w:rFonts w:ascii="Arial" w:eastAsia="MS Mincho" w:hAnsi="Arial" w:cs="Arial"/>
                <w:color w:val="000000" w:themeColor="text1"/>
                <w:szCs w:val="20"/>
                <w:lang w:val="en-US" w:eastAsia="ja-JP"/>
              </w:rPr>
              <w:t>housing,</w:t>
            </w:r>
            <w:r w:rsidR="00085896" w:rsidRPr="001D2C3C">
              <w:rPr>
                <w:rFonts w:ascii="Arial" w:eastAsia="MS Mincho" w:hAnsi="Arial" w:cs="Arial"/>
                <w:color w:val="000000" w:themeColor="text1"/>
                <w:szCs w:val="20"/>
                <w:lang w:val="en-US" w:eastAsia="ja-JP"/>
              </w:rPr>
              <w:t xml:space="preserve"> employment &amp; </w:t>
            </w:r>
            <w:r w:rsidR="00D72F06" w:rsidRPr="001D2C3C">
              <w:rPr>
                <w:rFonts w:ascii="Arial" w:eastAsia="MS Mincho" w:hAnsi="Arial" w:cs="Arial"/>
                <w:color w:val="000000" w:themeColor="text1"/>
                <w:szCs w:val="20"/>
                <w:lang w:val="en-US" w:eastAsia="ja-JP"/>
              </w:rPr>
              <w:t>educational status</w:t>
            </w:r>
            <w:r w:rsidR="00CD5EDD" w:rsidRPr="001D2C3C">
              <w:rPr>
                <w:rFonts w:ascii="Arial" w:eastAsia="MS Mincho" w:hAnsi="Arial" w:cs="Arial"/>
                <w:color w:val="000000" w:themeColor="text1"/>
                <w:szCs w:val="20"/>
                <w:lang w:val="en-US" w:eastAsia="ja-JP"/>
              </w:rPr>
              <w:t>, nationality and</w:t>
            </w:r>
            <w:r w:rsidR="009516E7" w:rsidRPr="001D2C3C">
              <w:rPr>
                <w:rFonts w:ascii="Arial" w:eastAsia="MS Mincho" w:hAnsi="Arial" w:cs="Arial"/>
                <w:color w:val="000000" w:themeColor="text1"/>
                <w:szCs w:val="20"/>
                <w:lang w:val="en-US" w:eastAsia="ja-JP"/>
              </w:rPr>
              <w:t xml:space="preserve"> </w:t>
            </w:r>
            <w:r w:rsidR="00CD5EDD" w:rsidRPr="001D2C3C">
              <w:rPr>
                <w:rFonts w:ascii="Arial" w:eastAsia="MS Mincho" w:hAnsi="Arial" w:cs="Arial"/>
                <w:color w:val="000000" w:themeColor="text1"/>
                <w:szCs w:val="20"/>
                <w:lang w:val="en-US" w:eastAsia="ja-JP"/>
              </w:rPr>
              <w:t>recovery support</w:t>
            </w:r>
          </w:p>
          <w:p w:rsidR="00080E3A" w:rsidRPr="001D2C3C" w:rsidRDefault="00750BC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New to treatment numbers</w:t>
            </w:r>
          </w:p>
          <w:p w:rsidR="00080E3A" w:rsidRPr="001D2C3C" w:rsidRDefault="00ED0291"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Number </w:t>
            </w:r>
            <w:proofErr w:type="spellStart"/>
            <w:r w:rsidRPr="001D2C3C">
              <w:rPr>
                <w:rFonts w:ascii="Arial" w:eastAsia="MS Mincho" w:hAnsi="Arial" w:cs="Arial"/>
                <w:color w:val="000000" w:themeColor="text1"/>
                <w:szCs w:val="20"/>
                <w:lang w:val="en-US" w:eastAsia="ja-JP"/>
              </w:rPr>
              <w:t>immunised</w:t>
            </w:r>
            <w:proofErr w:type="spellEnd"/>
            <w:r w:rsidR="00750BC4" w:rsidRPr="001D2C3C">
              <w:rPr>
                <w:rFonts w:ascii="Arial" w:eastAsia="MS Mincho" w:hAnsi="Arial" w:cs="Arial"/>
                <w:color w:val="000000" w:themeColor="text1"/>
                <w:szCs w:val="20"/>
                <w:lang w:val="en-US" w:eastAsia="ja-JP"/>
              </w:rPr>
              <w:t xml:space="preserve"> for Hepatitis A/B</w:t>
            </w:r>
          </w:p>
          <w:p w:rsidR="00080E3A" w:rsidRPr="001D2C3C" w:rsidRDefault="00750BC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 xml:space="preserve">Numbers declined </w:t>
            </w:r>
            <w:r w:rsidR="00080E3A" w:rsidRPr="001D2C3C">
              <w:rPr>
                <w:rFonts w:ascii="Arial" w:eastAsia="MS Mincho" w:hAnsi="Arial" w:cs="Arial"/>
                <w:color w:val="000000" w:themeColor="text1"/>
                <w:szCs w:val="20"/>
                <w:lang w:val="en-US" w:eastAsia="ja-JP"/>
              </w:rPr>
              <w:t>immunization</w:t>
            </w:r>
          </w:p>
          <w:p w:rsidR="00080E3A" w:rsidRPr="001D2C3C" w:rsidRDefault="00750BC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Numbers Hepatitis C screened</w:t>
            </w:r>
          </w:p>
          <w:p w:rsidR="00080E3A" w:rsidRPr="001D2C3C" w:rsidRDefault="00750BC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Numbers receiving pharmacological interventions</w:t>
            </w:r>
          </w:p>
          <w:p w:rsidR="00080E3A" w:rsidRPr="001D2C3C" w:rsidRDefault="00750BC4"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Numbers receiving psychosocial interventions</w:t>
            </w:r>
          </w:p>
          <w:p w:rsidR="00080E3A" w:rsidRPr="001D2C3C" w:rsidRDefault="00D72F06"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Numbers of pregnant patients</w:t>
            </w:r>
          </w:p>
          <w:p w:rsidR="00080E3A" w:rsidRPr="001D2C3C" w:rsidRDefault="008C555C"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Numbers of dual d</w:t>
            </w:r>
            <w:r w:rsidR="00D72F06" w:rsidRPr="001D2C3C">
              <w:rPr>
                <w:rFonts w:ascii="Arial" w:eastAsia="MS Mincho" w:hAnsi="Arial" w:cs="Arial"/>
                <w:color w:val="000000" w:themeColor="text1"/>
                <w:szCs w:val="20"/>
                <w:lang w:val="en-US" w:eastAsia="ja-JP"/>
              </w:rPr>
              <w:t>iagnosis</w:t>
            </w:r>
            <w:r w:rsidRPr="001D2C3C">
              <w:rPr>
                <w:rFonts w:ascii="Arial" w:eastAsia="MS Mincho" w:hAnsi="Arial" w:cs="Arial"/>
                <w:color w:val="000000" w:themeColor="text1"/>
                <w:szCs w:val="20"/>
                <w:lang w:val="en-US" w:eastAsia="ja-JP"/>
              </w:rPr>
              <w:t xml:space="preserve"> patients</w:t>
            </w:r>
          </w:p>
          <w:p w:rsidR="008C555C" w:rsidRPr="001D2C3C" w:rsidRDefault="008C555C" w:rsidP="00090E73">
            <w:pPr>
              <w:pStyle w:val="ListParagraph"/>
              <w:numPr>
                <w:ilvl w:val="0"/>
                <w:numId w:val="6"/>
              </w:num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Numbers treated in Tier 3/4 services previously</w:t>
            </w:r>
          </w:p>
          <w:p w:rsidR="00EB717E" w:rsidRPr="001D2C3C" w:rsidRDefault="00EB717E" w:rsidP="00475166">
            <w:pPr>
              <w:pStyle w:val="ListParagraph"/>
              <w:spacing w:after="0" w:line="240" w:lineRule="auto"/>
              <w:rPr>
                <w:rFonts w:ascii="Arial" w:eastAsia="MS Mincho" w:hAnsi="Arial" w:cs="Arial"/>
                <w:color w:val="000000" w:themeColor="text1"/>
                <w:szCs w:val="20"/>
                <w:lang w:val="en-US" w:eastAsia="ja-JP"/>
              </w:rPr>
            </w:pPr>
          </w:p>
          <w:p w:rsidR="00080E3A" w:rsidRPr="001D2C3C" w:rsidRDefault="00080E3A" w:rsidP="00475166">
            <w:pPr>
              <w:pStyle w:val="ListParagraph"/>
              <w:spacing w:after="0" w:line="240" w:lineRule="auto"/>
              <w:rPr>
                <w:rFonts w:ascii="Arial" w:eastAsia="MS Mincho" w:hAnsi="Arial" w:cs="Arial"/>
                <w:color w:val="000000" w:themeColor="text1"/>
                <w:szCs w:val="20"/>
                <w:lang w:val="en-US" w:eastAsia="ja-JP"/>
              </w:rPr>
            </w:pPr>
          </w:p>
        </w:tc>
      </w:tr>
      <w:tr w:rsidR="00EB717E" w:rsidRPr="00EB717E" w:rsidTr="00274AD9">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lastRenderedPageBreak/>
              <w:t>5.</w:t>
            </w:r>
            <w:r w:rsidRPr="00EB717E">
              <w:rPr>
                <w:rFonts w:ascii="Arial" w:eastAsia="MS Mincho" w:hAnsi="Arial" w:cs="Arial"/>
                <w:b/>
                <w:color w:val="F79646"/>
                <w:sz w:val="24"/>
                <w:szCs w:val="20"/>
                <w:lang w:val="en-US" w:eastAsia="ja-JP"/>
              </w:rPr>
              <w:tab/>
              <w:t>Applicable quality requirements and CQUIN goals</w:t>
            </w:r>
          </w:p>
        </w:tc>
      </w:tr>
      <w:tr w:rsidR="001D2C3C" w:rsidRPr="001D2C3C" w:rsidTr="00274AD9">
        <w:tc>
          <w:tcPr>
            <w:tcW w:w="8414" w:type="dxa"/>
            <w:shd w:val="clear" w:color="auto" w:fill="auto"/>
          </w:tcPr>
          <w:p w:rsidR="00EB717E" w:rsidRPr="001D2C3C" w:rsidRDefault="00EB717E" w:rsidP="00EB717E">
            <w:pPr>
              <w:spacing w:after="0" w:line="240" w:lineRule="auto"/>
              <w:rPr>
                <w:rFonts w:ascii="Arial" w:eastAsia="MS Mincho" w:hAnsi="Arial" w:cs="Arial"/>
                <w:b/>
                <w:color w:val="000000" w:themeColor="text1"/>
                <w:szCs w:val="20"/>
                <w:lang w:val="en-US" w:eastAsia="ja-JP"/>
              </w:rPr>
            </w:pPr>
          </w:p>
          <w:p w:rsidR="00ED0A68" w:rsidRPr="001D2C3C" w:rsidRDefault="00A953CA" w:rsidP="001D2C3C">
            <w:pPr>
              <w:spacing w:after="0" w:line="240" w:lineRule="auto"/>
              <w:ind w:left="743" w:hanging="709"/>
              <w:rPr>
                <w:rFonts w:ascii="Arial" w:eastAsia="Times New Roman" w:hAnsi="Arial" w:cs="Arial"/>
                <w:b/>
                <w:color w:val="000000" w:themeColor="text1"/>
                <w:szCs w:val="20"/>
                <w:lang w:eastAsia="en-GB"/>
              </w:rPr>
            </w:pPr>
            <w:r w:rsidRPr="001D2C3C">
              <w:rPr>
                <w:rFonts w:ascii="Arial" w:eastAsia="Times New Roman" w:hAnsi="Arial" w:cs="Arial"/>
                <w:b/>
                <w:color w:val="000000" w:themeColor="text1"/>
                <w:szCs w:val="20"/>
                <w:lang w:eastAsia="en-GB"/>
              </w:rPr>
              <w:t>5.1</w:t>
            </w:r>
            <w:r w:rsidR="00ED0A68" w:rsidRPr="001D2C3C">
              <w:rPr>
                <w:rFonts w:ascii="Arial" w:eastAsia="Times New Roman" w:hAnsi="Arial" w:cs="Arial"/>
                <w:b/>
                <w:color w:val="000000" w:themeColor="text1"/>
                <w:szCs w:val="20"/>
                <w:lang w:eastAsia="en-GB"/>
              </w:rPr>
              <w:t xml:space="preserve"> A</w:t>
            </w:r>
            <w:r w:rsidR="00080E3A" w:rsidRPr="001D2C3C">
              <w:rPr>
                <w:rFonts w:ascii="Arial" w:eastAsia="Times New Roman" w:hAnsi="Arial" w:cs="Arial"/>
                <w:b/>
                <w:color w:val="000000" w:themeColor="text1"/>
                <w:szCs w:val="20"/>
                <w:lang w:eastAsia="en-GB"/>
              </w:rPr>
              <w:t xml:space="preserve">pplicable quality requirements </w:t>
            </w:r>
          </w:p>
          <w:p w:rsidR="00080E3A" w:rsidRPr="001D2C3C" w:rsidRDefault="00080E3A" w:rsidP="00ED0A68">
            <w:pPr>
              <w:spacing w:after="0" w:line="240" w:lineRule="auto"/>
              <w:ind w:left="743"/>
              <w:rPr>
                <w:rFonts w:ascii="Arial" w:eastAsia="Times New Roman" w:hAnsi="Arial" w:cs="Arial"/>
                <w:color w:val="000000" w:themeColor="text1"/>
                <w:szCs w:val="20"/>
                <w:lang w:eastAsia="en-GB"/>
              </w:rPr>
            </w:pPr>
          </w:p>
          <w:tbl>
            <w:tblPr>
              <w:tblStyle w:val="TableGrid"/>
              <w:tblW w:w="0" w:type="auto"/>
              <w:tblLook w:val="04A0" w:firstRow="1" w:lastRow="0" w:firstColumn="1" w:lastColumn="0" w:noHBand="0" w:noVBand="1"/>
            </w:tblPr>
            <w:tblGrid>
              <w:gridCol w:w="2297"/>
              <w:gridCol w:w="1985"/>
              <w:gridCol w:w="1984"/>
              <w:gridCol w:w="1917"/>
            </w:tblGrid>
            <w:tr w:rsidR="001D2C3C" w:rsidRPr="001D2C3C" w:rsidTr="00F411A5">
              <w:tc>
                <w:tcPr>
                  <w:tcW w:w="2297"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Quality Requirement</w:t>
                  </w:r>
                </w:p>
              </w:tc>
              <w:tc>
                <w:tcPr>
                  <w:tcW w:w="1985"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Threshold</w:t>
                  </w:r>
                </w:p>
              </w:tc>
              <w:tc>
                <w:tcPr>
                  <w:tcW w:w="1984"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Method of Measurement</w:t>
                  </w:r>
                </w:p>
              </w:tc>
              <w:tc>
                <w:tcPr>
                  <w:tcW w:w="1917"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Consequence of Breach</w:t>
                  </w:r>
                </w:p>
              </w:tc>
            </w:tr>
            <w:tr w:rsidR="001D2C3C" w:rsidRPr="001D2C3C" w:rsidTr="00F411A5">
              <w:tc>
                <w:tcPr>
                  <w:tcW w:w="2297" w:type="dxa"/>
                </w:tcPr>
                <w:p w:rsidR="004C5728" w:rsidRPr="001D2C3C" w:rsidRDefault="00ED0A6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 xml:space="preserve">GPIP will maintain a </w:t>
                  </w:r>
                  <w:r w:rsidR="004C5728" w:rsidRPr="001D2C3C">
                    <w:rPr>
                      <w:rFonts w:ascii="Arial" w:eastAsia="Times New Roman" w:hAnsi="Arial" w:cs="Arial"/>
                      <w:color w:val="000000" w:themeColor="text1"/>
                      <w:szCs w:val="20"/>
                      <w:lang w:eastAsia="en-GB"/>
                    </w:rPr>
                    <w:t>Complaints r</w:t>
                  </w:r>
                  <w:r w:rsidR="00F411A5" w:rsidRPr="001D2C3C">
                    <w:rPr>
                      <w:rFonts w:ascii="Arial" w:eastAsia="Times New Roman" w:hAnsi="Arial" w:cs="Arial"/>
                      <w:color w:val="000000" w:themeColor="text1"/>
                      <w:szCs w:val="20"/>
                      <w:lang w:eastAsia="en-GB"/>
                    </w:rPr>
                    <w:t xml:space="preserve">egister </w:t>
                  </w:r>
                </w:p>
              </w:tc>
              <w:tc>
                <w:tcPr>
                  <w:tcW w:w="1985"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No more than 5% of complaints substantiated</w:t>
                  </w:r>
                </w:p>
              </w:tc>
              <w:tc>
                <w:tcPr>
                  <w:tcW w:w="1984"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Quarterly Complaints Register</w:t>
                  </w:r>
                </w:p>
              </w:tc>
              <w:tc>
                <w:tcPr>
                  <w:tcW w:w="1917"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Remedial Action Plan</w:t>
                  </w:r>
                </w:p>
              </w:tc>
            </w:tr>
            <w:tr w:rsidR="001D2C3C" w:rsidRPr="001D2C3C" w:rsidTr="00F411A5">
              <w:tc>
                <w:tcPr>
                  <w:tcW w:w="2297"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Patients will have an initial comprehensive assessment of their needs and choices with a structured care plan and 6 monthly care plan reviews</w:t>
                  </w:r>
                </w:p>
              </w:tc>
              <w:tc>
                <w:tcPr>
                  <w:tcW w:w="1985"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100%</w:t>
                  </w:r>
                </w:p>
              </w:tc>
              <w:tc>
                <w:tcPr>
                  <w:tcW w:w="1984" w:type="dxa"/>
                </w:tcPr>
                <w:p w:rsidR="004C5728" w:rsidRPr="001D2C3C" w:rsidRDefault="004C5728" w:rsidP="00E0337F">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100% NDTMS/TOP compliance-available to commissioners on a quarterly basis by download from DAMS</w:t>
                  </w:r>
                  <w:r w:rsidR="00F411A5" w:rsidRPr="001D2C3C">
                    <w:rPr>
                      <w:rFonts w:ascii="Arial" w:eastAsia="Times New Roman" w:hAnsi="Arial" w:cs="Arial"/>
                      <w:color w:val="000000" w:themeColor="text1"/>
                      <w:szCs w:val="20"/>
                      <w:lang w:eastAsia="en-GB"/>
                    </w:rPr>
                    <w:t xml:space="preserve">-Quarterly Performance meetings </w:t>
                  </w:r>
                  <w:r w:rsidR="00E0337F" w:rsidRPr="001D2C3C">
                    <w:rPr>
                      <w:rFonts w:ascii="Arial" w:eastAsia="Times New Roman" w:hAnsi="Arial" w:cs="Arial"/>
                      <w:color w:val="000000" w:themeColor="text1"/>
                      <w:szCs w:val="20"/>
                      <w:lang w:eastAsia="en-GB"/>
                    </w:rPr>
                    <w:t>(QPM) wi</w:t>
                  </w:r>
                  <w:r w:rsidR="00F411A5" w:rsidRPr="001D2C3C">
                    <w:rPr>
                      <w:rFonts w:ascii="Arial" w:eastAsia="Times New Roman" w:hAnsi="Arial" w:cs="Arial"/>
                      <w:color w:val="000000" w:themeColor="text1"/>
                      <w:szCs w:val="20"/>
                      <w:lang w:eastAsia="en-GB"/>
                    </w:rPr>
                    <w:t>th Commissioners</w:t>
                  </w:r>
                </w:p>
              </w:tc>
              <w:tc>
                <w:tcPr>
                  <w:tcW w:w="1917" w:type="dxa"/>
                </w:tcPr>
                <w:p w:rsidR="004C5728" w:rsidRPr="001D2C3C" w:rsidRDefault="004C572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Remedial action Plan</w:t>
                  </w:r>
                </w:p>
              </w:tc>
            </w:tr>
            <w:tr w:rsidR="001D2C3C" w:rsidRPr="001D2C3C" w:rsidTr="00727A5B">
              <w:trPr>
                <w:trHeight w:val="1683"/>
              </w:trPr>
              <w:tc>
                <w:tcPr>
                  <w:tcW w:w="2297" w:type="dxa"/>
                  <w:tcBorders>
                    <w:bottom w:val="single" w:sz="4" w:space="0" w:color="auto"/>
                  </w:tcBorders>
                </w:tcPr>
                <w:p w:rsidR="004C5728" w:rsidRPr="001D2C3C" w:rsidRDefault="00ED0A6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Patients agree they have mutually benefitted from the service and/or have received clear signposting to services</w:t>
                  </w:r>
                </w:p>
              </w:tc>
              <w:tc>
                <w:tcPr>
                  <w:tcW w:w="1985" w:type="dxa"/>
                  <w:tcBorders>
                    <w:bottom w:val="single" w:sz="4" w:space="0" w:color="auto"/>
                  </w:tcBorders>
                </w:tcPr>
                <w:p w:rsidR="004C5728" w:rsidRPr="001D2C3C" w:rsidRDefault="00ED0A6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80%</w:t>
                  </w:r>
                </w:p>
              </w:tc>
              <w:tc>
                <w:tcPr>
                  <w:tcW w:w="1984" w:type="dxa"/>
                  <w:tcBorders>
                    <w:bottom w:val="single" w:sz="4" w:space="0" w:color="auto"/>
                  </w:tcBorders>
                </w:tcPr>
                <w:p w:rsidR="004C5728" w:rsidRPr="001D2C3C" w:rsidRDefault="00ED0A68"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Annual Patient Survey</w:t>
                  </w:r>
                </w:p>
              </w:tc>
              <w:tc>
                <w:tcPr>
                  <w:tcW w:w="1917" w:type="dxa"/>
                  <w:tcBorders>
                    <w:bottom w:val="single" w:sz="4" w:space="0" w:color="auto"/>
                  </w:tcBorders>
                </w:tcPr>
                <w:p w:rsidR="004C5728" w:rsidRPr="001D2C3C" w:rsidRDefault="00F411A5"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Reme</w:t>
                  </w:r>
                  <w:r w:rsidR="00ED0A68" w:rsidRPr="001D2C3C">
                    <w:rPr>
                      <w:rFonts w:ascii="Arial" w:eastAsia="Times New Roman" w:hAnsi="Arial" w:cs="Arial"/>
                      <w:color w:val="000000" w:themeColor="text1"/>
                      <w:szCs w:val="20"/>
                      <w:lang w:eastAsia="en-GB"/>
                    </w:rPr>
                    <w:t xml:space="preserve">dial </w:t>
                  </w:r>
                  <w:r w:rsidRPr="001D2C3C">
                    <w:rPr>
                      <w:rFonts w:ascii="Arial" w:eastAsia="Times New Roman" w:hAnsi="Arial" w:cs="Arial"/>
                      <w:color w:val="000000" w:themeColor="text1"/>
                      <w:szCs w:val="20"/>
                      <w:lang w:eastAsia="en-GB"/>
                    </w:rPr>
                    <w:t xml:space="preserve">Action </w:t>
                  </w:r>
                  <w:r w:rsidR="00ED0A68" w:rsidRPr="001D2C3C">
                    <w:rPr>
                      <w:rFonts w:ascii="Arial" w:eastAsia="Times New Roman" w:hAnsi="Arial" w:cs="Arial"/>
                      <w:color w:val="000000" w:themeColor="text1"/>
                      <w:szCs w:val="20"/>
                      <w:lang w:eastAsia="en-GB"/>
                    </w:rPr>
                    <w:t>Plan</w:t>
                  </w:r>
                </w:p>
              </w:tc>
            </w:tr>
            <w:tr w:rsidR="001D2C3C" w:rsidRPr="001D2C3C" w:rsidTr="00727A5B">
              <w:tc>
                <w:tcPr>
                  <w:tcW w:w="2297" w:type="dxa"/>
                  <w:tcBorders>
                    <w:bottom w:val="single" w:sz="4" w:space="0" w:color="auto"/>
                  </w:tcBorders>
                </w:tcPr>
                <w:p w:rsidR="00ED0A68" w:rsidRPr="001D2C3C" w:rsidRDefault="00F411A5" w:rsidP="00E0337F">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 xml:space="preserve">Patients and their carers will be offered a mutually agreed </w:t>
                  </w:r>
                  <w:r w:rsidRPr="001D2C3C">
                    <w:rPr>
                      <w:rFonts w:ascii="Arial" w:eastAsia="Times New Roman" w:hAnsi="Arial" w:cs="Arial"/>
                      <w:color w:val="000000" w:themeColor="text1"/>
                      <w:szCs w:val="20"/>
                      <w:lang w:eastAsia="en-GB"/>
                    </w:rPr>
                    <w:lastRenderedPageBreak/>
                    <w:t xml:space="preserve">appointment time Monday to Friday 9am to 5pm at their own surgery or in  crisis at </w:t>
                  </w:r>
                  <w:r w:rsidR="00E0337F" w:rsidRPr="001D2C3C">
                    <w:rPr>
                      <w:rFonts w:ascii="Arial" w:eastAsia="Times New Roman" w:hAnsi="Arial" w:cs="Arial"/>
                      <w:color w:val="000000" w:themeColor="text1"/>
                      <w:szCs w:val="20"/>
                      <w:lang w:eastAsia="en-GB"/>
                    </w:rPr>
                    <w:t>another GPIP surgery</w:t>
                  </w:r>
                </w:p>
              </w:tc>
              <w:tc>
                <w:tcPr>
                  <w:tcW w:w="1985" w:type="dxa"/>
                  <w:tcBorders>
                    <w:bottom w:val="single" w:sz="4" w:space="0" w:color="auto"/>
                  </w:tcBorders>
                </w:tcPr>
                <w:p w:rsidR="00ED0A68" w:rsidRPr="001D2C3C" w:rsidRDefault="00F411A5"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lastRenderedPageBreak/>
                    <w:t>100%</w:t>
                  </w:r>
                </w:p>
              </w:tc>
              <w:tc>
                <w:tcPr>
                  <w:tcW w:w="1984" w:type="dxa"/>
                  <w:tcBorders>
                    <w:bottom w:val="single" w:sz="4" w:space="0" w:color="auto"/>
                  </w:tcBorders>
                </w:tcPr>
                <w:p w:rsidR="00ED0A68" w:rsidRPr="001D2C3C" w:rsidRDefault="00F411A5" w:rsidP="00E0337F">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t>100% NDTMS/TOP compliance-</w:t>
                  </w:r>
                  <w:r w:rsidRPr="001D2C3C">
                    <w:rPr>
                      <w:rFonts w:ascii="Arial" w:eastAsia="Times New Roman" w:hAnsi="Arial" w:cs="Arial"/>
                      <w:color w:val="000000" w:themeColor="text1"/>
                      <w:szCs w:val="20"/>
                      <w:lang w:eastAsia="en-GB"/>
                    </w:rPr>
                    <w:lastRenderedPageBreak/>
                    <w:t>available to commissioners on a quarterly basis by download from DAMS</w:t>
                  </w:r>
                  <w:r w:rsidR="00E0337F" w:rsidRPr="001D2C3C">
                    <w:rPr>
                      <w:rFonts w:ascii="Arial" w:eastAsia="Times New Roman" w:hAnsi="Arial" w:cs="Arial"/>
                      <w:color w:val="000000" w:themeColor="text1"/>
                      <w:szCs w:val="20"/>
                      <w:lang w:eastAsia="en-GB"/>
                    </w:rPr>
                    <w:t>-QPM</w:t>
                  </w:r>
                  <w:r w:rsidRPr="001D2C3C">
                    <w:rPr>
                      <w:rFonts w:ascii="Arial" w:eastAsia="Times New Roman" w:hAnsi="Arial" w:cs="Arial"/>
                      <w:color w:val="000000" w:themeColor="text1"/>
                      <w:szCs w:val="20"/>
                      <w:lang w:eastAsia="en-GB"/>
                    </w:rPr>
                    <w:t xml:space="preserve"> with Commissioners</w:t>
                  </w:r>
                </w:p>
              </w:tc>
              <w:tc>
                <w:tcPr>
                  <w:tcW w:w="1917" w:type="dxa"/>
                  <w:tcBorders>
                    <w:bottom w:val="single" w:sz="4" w:space="0" w:color="auto"/>
                  </w:tcBorders>
                </w:tcPr>
                <w:p w:rsidR="00ED0A68" w:rsidRPr="001D2C3C" w:rsidRDefault="00F411A5" w:rsidP="00663BFB">
                  <w:pPr>
                    <w:rPr>
                      <w:rFonts w:ascii="Arial" w:eastAsia="Times New Roman" w:hAnsi="Arial" w:cs="Arial"/>
                      <w:color w:val="000000" w:themeColor="text1"/>
                      <w:szCs w:val="20"/>
                      <w:lang w:eastAsia="en-GB"/>
                    </w:rPr>
                  </w:pPr>
                  <w:r w:rsidRPr="001D2C3C">
                    <w:rPr>
                      <w:rFonts w:ascii="Arial" w:eastAsia="Times New Roman" w:hAnsi="Arial" w:cs="Arial"/>
                      <w:color w:val="000000" w:themeColor="text1"/>
                      <w:szCs w:val="20"/>
                      <w:lang w:eastAsia="en-GB"/>
                    </w:rPr>
                    <w:lastRenderedPageBreak/>
                    <w:t>Remedial action Plan</w:t>
                  </w:r>
                </w:p>
              </w:tc>
            </w:tr>
            <w:tr w:rsidR="00727A5B" w:rsidRPr="001D2C3C" w:rsidTr="00727A5B">
              <w:tc>
                <w:tcPr>
                  <w:tcW w:w="2297" w:type="dxa"/>
                  <w:tcBorders>
                    <w:top w:val="single" w:sz="4" w:space="0" w:color="auto"/>
                    <w:left w:val="nil"/>
                    <w:bottom w:val="nil"/>
                    <w:right w:val="nil"/>
                  </w:tcBorders>
                </w:tcPr>
                <w:p w:rsidR="00727A5B" w:rsidRPr="001D2C3C" w:rsidRDefault="00727A5B" w:rsidP="00E0337F">
                  <w:pPr>
                    <w:rPr>
                      <w:rFonts w:ascii="Arial" w:eastAsia="Times New Roman" w:hAnsi="Arial" w:cs="Arial"/>
                      <w:color w:val="000000" w:themeColor="text1"/>
                      <w:szCs w:val="20"/>
                      <w:lang w:eastAsia="en-GB"/>
                    </w:rPr>
                  </w:pPr>
                </w:p>
              </w:tc>
              <w:tc>
                <w:tcPr>
                  <w:tcW w:w="1985" w:type="dxa"/>
                  <w:tcBorders>
                    <w:top w:val="single" w:sz="4" w:space="0" w:color="auto"/>
                    <w:left w:val="nil"/>
                    <w:bottom w:val="nil"/>
                    <w:right w:val="nil"/>
                  </w:tcBorders>
                </w:tcPr>
                <w:p w:rsidR="00727A5B" w:rsidRPr="001D2C3C" w:rsidRDefault="00727A5B" w:rsidP="00663BFB">
                  <w:pPr>
                    <w:rPr>
                      <w:rFonts w:ascii="Arial" w:eastAsia="Times New Roman" w:hAnsi="Arial" w:cs="Arial"/>
                      <w:color w:val="000000" w:themeColor="text1"/>
                      <w:szCs w:val="20"/>
                      <w:lang w:eastAsia="en-GB"/>
                    </w:rPr>
                  </w:pPr>
                </w:p>
              </w:tc>
              <w:tc>
                <w:tcPr>
                  <w:tcW w:w="1984" w:type="dxa"/>
                  <w:tcBorders>
                    <w:top w:val="single" w:sz="4" w:space="0" w:color="auto"/>
                    <w:left w:val="nil"/>
                    <w:bottom w:val="nil"/>
                    <w:right w:val="nil"/>
                  </w:tcBorders>
                </w:tcPr>
                <w:p w:rsidR="00727A5B" w:rsidRPr="001D2C3C" w:rsidRDefault="00727A5B" w:rsidP="00E0337F">
                  <w:pPr>
                    <w:rPr>
                      <w:rFonts w:ascii="Arial" w:eastAsia="Times New Roman" w:hAnsi="Arial" w:cs="Arial"/>
                      <w:color w:val="000000" w:themeColor="text1"/>
                      <w:szCs w:val="20"/>
                      <w:lang w:eastAsia="en-GB"/>
                    </w:rPr>
                  </w:pPr>
                </w:p>
              </w:tc>
              <w:tc>
                <w:tcPr>
                  <w:tcW w:w="1917" w:type="dxa"/>
                  <w:tcBorders>
                    <w:top w:val="single" w:sz="4" w:space="0" w:color="auto"/>
                    <w:left w:val="nil"/>
                    <w:bottom w:val="nil"/>
                    <w:right w:val="nil"/>
                  </w:tcBorders>
                </w:tcPr>
                <w:p w:rsidR="00727A5B" w:rsidRPr="001D2C3C" w:rsidRDefault="00727A5B" w:rsidP="00663BFB">
                  <w:pPr>
                    <w:rPr>
                      <w:rFonts w:ascii="Arial" w:eastAsia="Times New Roman" w:hAnsi="Arial" w:cs="Arial"/>
                      <w:color w:val="000000" w:themeColor="text1"/>
                      <w:szCs w:val="20"/>
                      <w:lang w:eastAsia="en-GB"/>
                    </w:rPr>
                  </w:pPr>
                </w:p>
              </w:tc>
            </w:tr>
          </w:tbl>
          <w:p w:rsidR="00EB717E" w:rsidRPr="001D2C3C" w:rsidRDefault="00EB717E" w:rsidP="00EB717E">
            <w:pPr>
              <w:spacing w:after="0" w:line="240" w:lineRule="auto"/>
              <w:rPr>
                <w:rFonts w:ascii="Arial" w:eastAsia="MS Mincho" w:hAnsi="Arial" w:cs="Arial"/>
                <w:color w:val="000000" w:themeColor="text1"/>
                <w:szCs w:val="20"/>
                <w:lang w:val="en-US" w:eastAsia="ja-JP"/>
              </w:rPr>
            </w:pPr>
          </w:p>
        </w:tc>
      </w:tr>
      <w:tr w:rsidR="00EB717E" w:rsidRPr="00EB717E" w:rsidTr="00274AD9">
        <w:tc>
          <w:tcPr>
            <w:tcW w:w="8414" w:type="dxa"/>
            <w:shd w:val="clear" w:color="auto" w:fill="595959"/>
          </w:tcPr>
          <w:p w:rsidR="00EB717E" w:rsidRPr="00EB717E" w:rsidRDefault="00EB717E" w:rsidP="00EB717E">
            <w:pPr>
              <w:spacing w:after="0"/>
              <w:rPr>
                <w:rFonts w:ascii="Arial" w:eastAsia="MS Mincho" w:hAnsi="Arial" w:cs="Arial"/>
                <w:b/>
                <w:color w:val="F79646"/>
                <w:sz w:val="24"/>
                <w:szCs w:val="20"/>
                <w:lang w:val="en-US" w:eastAsia="ja-JP"/>
              </w:rPr>
            </w:pPr>
            <w:r w:rsidRPr="00EB717E">
              <w:rPr>
                <w:rFonts w:ascii="Arial" w:eastAsia="MS Mincho" w:hAnsi="Arial" w:cs="Arial"/>
                <w:b/>
                <w:color w:val="F79646"/>
                <w:sz w:val="24"/>
                <w:szCs w:val="20"/>
                <w:lang w:val="en-US" w:eastAsia="ja-JP"/>
              </w:rPr>
              <w:lastRenderedPageBreak/>
              <w:t>6.</w:t>
            </w:r>
            <w:r w:rsidRPr="00EB717E">
              <w:rPr>
                <w:rFonts w:ascii="Arial" w:eastAsia="MS Mincho" w:hAnsi="Arial" w:cs="Arial"/>
                <w:b/>
                <w:color w:val="F79646"/>
                <w:sz w:val="24"/>
                <w:szCs w:val="20"/>
                <w:lang w:val="en-US" w:eastAsia="ja-JP"/>
              </w:rPr>
              <w:tab/>
              <w:t>Location of Provider Premises</w:t>
            </w:r>
          </w:p>
        </w:tc>
      </w:tr>
      <w:tr w:rsidR="00EB717E" w:rsidRPr="001D2C3C" w:rsidTr="00274AD9">
        <w:tc>
          <w:tcPr>
            <w:tcW w:w="8414" w:type="dxa"/>
            <w:shd w:val="clear" w:color="auto" w:fill="auto"/>
          </w:tcPr>
          <w:p w:rsidR="001D2C3C" w:rsidRPr="001D2C3C" w:rsidRDefault="001D2C3C" w:rsidP="00EB717E">
            <w:pPr>
              <w:spacing w:after="0" w:line="240" w:lineRule="auto"/>
              <w:rPr>
                <w:rFonts w:ascii="Arial" w:eastAsia="MS Mincho" w:hAnsi="Arial" w:cs="Arial"/>
                <w:b/>
                <w:color w:val="000000" w:themeColor="text1"/>
                <w:szCs w:val="20"/>
                <w:lang w:val="en-US" w:eastAsia="ja-JP"/>
              </w:rPr>
            </w:pPr>
          </w:p>
          <w:p w:rsidR="00EB717E" w:rsidRPr="001D2C3C" w:rsidRDefault="00490E7B"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service will be hosted by Birkwood Medical Centre on behalf of the practices within  GPIP (Grimsby Practices in Partnership -  Birkwood, Pelham, Chantry, Woodford/Littlefield, Drs Sinha &amp; De), and offer registration within GPIP to patients currently undergoing treatment at Drs Chalmers &amp; Meier’s or transfer to secondary services.</w:t>
            </w:r>
          </w:p>
          <w:p w:rsidR="00490E7B" w:rsidRPr="001D2C3C" w:rsidRDefault="00490E7B" w:rsidP="00EB717E">
            <w:pPr>
              <w:spacing w:after="0" w:line="240" w:lineRule="auto"/>
              <w:rPr>
                <w:rFonts w:ascii="Arial" w:eastAsia="MS Mincho" w:hAnsi="Arial" w:cs="Arial"/>
                <w:color w:val="000000" w:themeColor="text1"/>
                <w:szCs w:val="20"/>
                <w:lang w:val="en-US" w:eastAsia="ja-JP"/>
              </w:rPr>
            </w:pPr>
          </w:p>
          <w:p w:rsidR="001D2C3C" w:rsidRPr="001D2C3C" w:rsidRDefault="001D2C3C"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The host address for billing, invoicing and employment purposes is:</w:t>
            </w:r>
          </w:p>
          <w:p w:rsidR="00490E7B" w:rsidRPr="001D2C3C" w:rsidRDefault="00490E7B"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Birkwood Medical Centre</w:t>
            </w:r>
          </w:p>
          <w:p w:rsidR="00490E7B" w:rsidRPr="001D2C3C" w:rsidRDefault="00490E7B"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Westward Ho</w:t>
            </w:r>
          </w:p>
          <w:p w:rsidR="00490E7B" w:rsidRPr="001D2C3C" w:rsidRDefault="00490E7B"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Grimsby</w:t>
            </w:r>
          </w:p>
          <w:p w:rsidR="00490E7B" w:rsidRPr="001D2C3C" w:rsidRDefault="00490E7B" w:rsidP="00EB717E">
            <w:pPr>
              <w:spacing w:after="0" w:line="240" w:lineRule="auto"/>
              <w:rPr>
                <w:rFonts w:ascii="Arial" w:eastAsia="MS Mincho" w:hAnsi="Arial" w:cs="Arial"/>
                <w:color w:val="000000" w:themeColor="text1"/>
                <w:szCs w:val="20"/>
                <w:lang w:val="en-US" w:eastAsia="ja-JP"/>
              </w:rPr>
            </w:pPr>
            <w:r w:rsidRPr="001D2C3C">
              <w:rPr>
                <w:rFonts w:ascii="Arial" w:eastAsia="MS Mincho" w:hAnsi="Arial" w:cs="Arial"/>
                <w:color w:val="000000" w:themeColor="text1"/>
                <w:szCs w:val="20"/>
                <w:lang w:val="en-US" w:eastAsia="ja-JP"/>
              </w:rPr>
              <w:t>DN34 5DX</w:t>
            </w:r>
          </w:p>
          <w:p w:rsidR="00EB717E" w:rsidRPr="001D2C3C" w:rsidRDefault="00EB717E" w:rsidP="00EB717E">
            <w:pPr>
              <w:spacing w:after="0" w:line="240" w:lineRule="auto"/>
              <w:rPr>
                <w:rFonts w:ascii="Arial" w:eastAsia="MS Mincho" w:hAnsi="Arial" w:cs="Arial"/>
                <w:color w:val="000000" w:themeColor="text1"/>
                <w:szCs w:val="20"/>
                <w:lang w:val="en-US" w:eastAsia="ja-JP"/>
              </w:rPr>
            </w:pPr>
          </w:p>
        </w:tc>
      </w:tr>
      <w:tr w:rsidR="00EB717E" w:rsidRPr="001D2C3C" w:rsidTr="00274AD9">
        <w:tc>
          <w:tcPr>
            <w:tcW w:w="8414" w:type="dxa"/>
            <w:shd w:val="clear" w:color="auto" w:fill="auto"/>
          </w:tcPr>
          <w:p w:rsidR="00EB717E" w:rsidRPr="001D2C3C" w:rsidRDefault="00EB717E" w:rsidP="00EB717E">
            <w:pPr>
              <w:spacing w:after="0" w:line="240" w:lineRule="auto"/>
              <w:rPr>
                <w:rFonts w:ascii="Arial" w:eastAsia="MS Mincho" w:hAnsi="Arial" w:cs="Arial"/>
                <w:lang w:val="en-US" w:eastAsia="ja-JP"/>
              </w:rPr>
            </w:pPr>
          </w:p>
          <w:p w:rsidR="00C85CB1" w:rsidRDefault="00C85CB1" w:rsidP="00EB717E">
            <w:pPr>
              <w:spacing w:after="0" w:line="240" w:lineRule="auto"/>
              <w:rPr>
                <w:rFonts w:ascii="Arial" w:eastAsia="MS Mincho" w:hAnsi="Arial" w:cs="Arial"/>
                <w:b/>
                <w:lang w:val="en-US" w:eastAsia="ja-JP"/>
              </w:rPr>
            </w:pPr>
            <w:r w:rsidRPr="001D2C3C">
              <w:rPr>
                <w:rFonts w:ascii="Arial" w:eastAsia="MS Mincho" w:hAnsi="Arial" w:cs="Arial"/>
                <w:b/>
                <w:lang w:val="en-US" w:eastAsia="ja-JP"/>
              </w:rPr>
              <w:t>Indicative Activity Plan</w:t>
            </w:r>
            <w:r w:rsidR="0084408A" w:rsidRPr="001D2C3C">
              <w:rPr>
                <w:rFonts w:ascii="Arial" w:eastAsia="MS Mincho" w:hAnsi="Arial" w:cs="Arial"/>
                <w:b/>
                <w:lang w:val="en-US" w:eastAsia="ja-JP"/>
              </w:rPr>
              <w:t xml:space="preserve"> </w:t>
            </w:r>
          </w:p>
          <w:p w:rsidR="00976055" w:rsidRPr="001D2C3C" w:rsidRDefault="00976055" w:rsidP="00EB717E">
            <w:pPr>
              <w:spacing w:after="0" w:line="240" w:lineRule="auto"/>
              <w:rPr>
                <w:rFonts w:ascii="Arial" w:eastAsia="MS Mincho" w:hAnsi="Arial" w:cs="Arial"/>
                <w:lang w:val="en-US" w:eastAsia="ja-JP"/>
              </w:rPr>
            </w:pPr>
          </w:p>
          <w:p w:rsidR="00C85CB1" w:rsidRPr="001D2C3C" w:rsidRDefault="009B52DB" w:rsidP="00EB717E">
            <w:pPr>
              <w:spacing w:after="0" w:line="240" w:lineRule="auto"/>
              <w:rPr>
                <w:rFonts w:ascii="Arial" w:eastAsia="MS Mincho" w:hAnsi="Arial" w:cs="Arial"/>
                <w:lang w:val="en-US" w:eastAsia="ja-JP"/>
              </w:rPr>
            </w:pPr>
            <w:r>
              <w:rPr>
                <w:rFonts w:ascii="Arial" w:eastAsia="MS Mincho" w:hAnsi="Arial" w:cs="Arial"/>
                <w:lang w:val="en-US" w:eastAsia="ja-JP"/>
              </w:rPr>
              <w:t xml:space="preserve">Maximum numbers in </w:t>
            </w:r>
            <w:proofErr w:type="gramStart"/>
            <w:r>
              <w:rPr>
                <w:rFonts w:ascii="Arial" w:eastAsia="MS Mincho" w:hAnsi="Arial" w:cs="Arial"/>
                <w:lang w:val="en-US" w:eastAsia="ja-JP"/>
              </w:rPr>
              <w:t>treatment  25</w:t>
            </w:r>
            <w:r w:rsidR="0084408A" w:rsidRPr="001D2C3C">
              <w:rPr>
                <w:rFonts w:ascii="Arial" w:eastAsia="MS Mincho" w:hAnsi="Arial" w:cs="Arial"/>
                <w:lang w:val="en-US" w:eastAsia="ja-JP"/>
              </w:rPr>
              <w:t>0</w:t>
            </w:r>
            <w:proofErr w:type="gramEnd"/>
            <w:r w:rsidR="0084408A" w:rsidRPr="001D2C3C">
              <w:rPr>
                <w:rFonts w:ascii="Arial" w:eastAsia="MS Mincho" w:hAnsi="Arial" w:cs="Arial"/>
                <w:lang w:val="en-US" w:eastAsia="ja-JP"/>
              </w:rPr>
              <w:t xml:space="preserve"> </w:t>
            </w:r>
            <w:r w:rsidR="00090E73">
              <w:rPr>
                <w:rFonts w:ascii="Arial" w:eastAsia="MS Mincho" w:hAnsi="Arial" w:cs="Arial"/>
                <w:lang w:val="en-US" w:eastAsia="ja-JP"/>
              </w:rPr>
              <w:t>per rolling year</w:t>
            </w:r>
            <w:r w:rsidR="0084408A" w:rsidRPr="001D2C3C">
              <w:rPr>
                <w:rFonts w:ascii="Arial" w:eastAsia="MS Mincho" w:hAnsi="Arial" w:cs="Arial"/>
                <w:lang w:val="en-US" w:eastAsia="ja-JP"/>
              </w:rPr>
              <w:t xml:space="preserve"> -  with  10% above/below</w:t>
            </w:r>
            <w:r w:rsidR="00727A5B">
              <w:rPr>
                <w:rFonts w:ascii="Arial" w:eastAsia="MS Mincho" w:hAnsi="Arial" w:cs="Arial"/>
                <w:lang w:val="en-US" w:eastAsia="ja-JP"/>
              </w:rPr>
              <w:t xml:space="preserve"> </w:t>
            </w:r>
            <w:r w:rsidR="0084408A" w:rsidRPr="001D2C3C">
              <w:rPr>
                <w:rFonts w:ascii="Arial" w:eastAsia="MS Mincho" w:hAnsi="Arial" w:cs="Arial"/>
                <w:lang w:val="en-US" w:eastAsia="ja-JP"/>
              </w:rPr>
              <w:t>-</w:t>
            </w:r>
            <w:r>
              <w:rPr>
                <w:rFonts w:ascii="Arial" w:eastAsia="MS Mincho" w:hAnsi="Arial" w:cs="Arial"/>
                <w:lang w:val="en-US" w:eastAsia="ja-JP"/>
              </w:rPr>
              <w:t xml:space="preserve"> </w:t>
            </w:r>
            <w:r w:rsidR="0084408A" w:rsidRPr="001D2C3C">
              <w:rPr>
                <w:rFonts w:ascii="Arial" w:eastAsia="MS Mincho" w:hAnsi="Arial" w:cs="Arial"/>
                <w:lang w:val="en-US" w:eastAsia="ja-JP"/>
              </w:rPr>
              <w:t>NDTMS compliant cohort of registered patients</w:t>
            </w:r>
            <w:r w:rsidR="00727A5B">
              <w:rPr>
                <w:rFonts w:ascii="Arial" w:eastAsia="MS Mincho" w:hAnsi="Arial" w:cs="Arial"/>
                <w:lang w:val="en-US" w:eastAsia="ja-JP"/>
              </w:rPr>
              <w:t>.</w:t>
            </w:r>
          </w:p>
          <w:p w:rsidR="0084408A" w:rsidRDefault="0084408A" w:rsidP="00EB717E">
            <w:pPr>
              <w:spacing w:after="0" w:line="240" w:lineRule="auto"/>
              <w:rPr>
                <w:rFonts w:ascii="Arial" w:eastAsia="MS Mincho" w:hAnsi="Arial" w:cs="Arial"/>
                <w:lang w:val="en-US" w:eastAsia="ja-JP"/>
              </w:rPr>
            </w:pPr>
          </w:p>
          <w:p w:rsidR="00976055" w:rsidRPr="001D2C3C" w:rsidRDefault="00976055" w:rsidP="00EB717E">
            <w:pPr>
              <w:spacing w:after="0" w:line="240" w:lineRule="auto"/>
              <w:rPr>
                <w:rFonts w:ascii="Arial" w:eastAsia="MS Mincho" w:hAnsi="Arial" w:cs="Arial"/>
                <w:lang w:val="en-US" w:eastAsia="ja-JP"/>
              </w:rPr>
            </w:pPr>
            <w:r>
              <w:rPr>
                <w:rFonts w:ascii="Arial" w:eastAsia="MS Mincho" w:hAnsi="Arial" w:cs="Arial"/>
                <w:lang w:val="en-US" w:eastAsia="ja-JP"/>
              </w:rPr>
              <w:t xml:space="preserve">Awaiting times into treatment = 100% &lt; 3 weeks </w:t>
            </w:r>
          </w:p>
          <w:p w:rsidR="0084408A" w:rsidRDefault="009B52DB" w:rsidP="00EB717E">
            <w:pPr>
              <w:spacing w:after="0" w:line="240" w:lineRule="auto"/>
              <w:rPr>
                <w:rFonts w:ascii="Arial" w:eastAsia="MS Mincho" w:hAnsi="Arial" w:cs="Arial"/>
                <w:lang w:val="en-US" w:eastAsia="ja-JP"/>
              </w:rPr>
            </w:pPr>
            <w:r>
              <w:rPr>
                <w:rFonts w:ascii="Arial" w:eastAsia="MS Mincho" w:hAnsi="Arial" w:cs="Arial"/>
                <w:lang w:val="en-US" w:eastAsia="ja-JP"/>
              </w:rPr>
              <w:t>Successful di</w:t>
            </w:r>
            <w:r w:rsidR="0084408A" w:rsidRPr="001D2C3C">
              <w:rPr>
                <w:rFonts w:ascii="Arial" w:eastAsia="MS Mincho" w:hAnsi="Arial" w:cs="Arial"/>
                <w:lang w:val="en-US" w:eastAsia="ja-JP"/>
              </w:rPr>
              <w:t xml:space="preserve">scharged drug free </w:t>
            </w:r>
            <w:r>
              <w:rPr>
                <w:rFonts w:ascii="Arial" w:eastAsia="MS Mincho" w:hAnsi="Arial" w:cs="Arial"/>
                <w:lang w:val="en-US" w:eastAsia="ja-JP"/>
              </w:rPr>
              <w:t>15% per NDTMS</w:t>
            </w:r>
          </w:p>
          <w:p w:rsidR="009B52DB" w:rsidRPr="001D2C3C" w:rsidRDefault="009B52DB" w:rsidP="00EB717E">
            <w:pPr>
              <w:spacing w:after="0" w:line="240" w:lineRule="auto"/>
              <w:rPr>
                <w:rFonts w:ascii="Arial" w:eastAsia="MS Mincho" w:hAnsi="Arial" w:cs="Arial"/>
                <w:lang w:val="en-US" w:eastAsia="ja-JP"/>
              </w:rPr>
            </w:pPr>
            <w:r>
              <w:rPr>
                <w:rFonts w:ascii="Arial" w:eastAsia="MS Mincho" w:hAnsi="Arial" w:cs="Arial"/>
                <w:lang w:val="en-US" w:eastAsia="ja-JP"/>
              </w:rPr>
              <w:t>Return within 6 months of discharge = or &lt; comparator areas per NDTMS</w:t>
            </w:r>
          </w:p>
          <w:p w:rsidR="0084408A" w:rsidRDefault="009B52DB" w:rsidP="00EB717E">
            <w:pPr>
              <w:spacing w:after="0" w:line="240" w:lineRule="auto"/>
              <w:rPr>
                <w:rFonts w:ascii="Arial" w:eastAsia="MS Mincho" w:hAnsi="Arial" w:cs="Arial"/>
                <w:lang w:val="en-US" w:eastAsia="ja-JP"/>
              </w:rPr>
            </w:pPr>
            <w:r>
              <w:rPr>
                <w:rFonts w:ascii="Arial" w:eastAsia="MS Mincho" w:hAnsi="Arial" w:cs="Arial"/>
                <w:lang w:val="en-US" w:eastAsia="ja-JP"/>
              </w:rPr>
              <w:t>Unplanned discharges = or &lt; comparator areas per NDTMS</w:t>
            </w:r>
          </w:p>
          <w:p w:rsidR="009B52DB" w:rsidRDefault="009B52DB" w:rsidP="00EB717E">
            <w:pPr>
              <w:spacing w:after="0" w:line="240" w:lineRule="auto"/>
              <w:rPr>
                <w:rFonts w:ascii="Arial" w:eastAsia="MS Mincho" w:hAnsi="Arial" w:cs="Arial"/>
                <w:lang w:val="en-US" w:eastAsia="ja-JP"/>
              </w:rPr>
            </w:pPr>
            <w:r>
              <w:rPr>
                <w:rFonts w:ascii="Arial" w:eastAsia="MS Mincho" w:hAnsi="Arial" w:cs="Arial"/>
                <w:lang w:val="en-US" w:eastAsia="ja-JP"/>
              </w:rPr>
              <w:t>BBV relevant offers and uptake = or &gt; comparator areas per NDTMS</w:t>
            </w:r>
          </w:p>
          <w:p w:rsidR="00EB717E" w:rsidRPr="001D2C3C" w:rsidRDefault="00EB717E" w:rsidP="00F826C7">
            <w:pPr>
              <w:spacing w:after="0" w:line="240" w:lineRule="auto"/>
              <w:rPr>
                <w:rFonts w:ascii="Arial" w:eastAsia="MS Mincho" w:hAnsi="Arial" w:cs="Arial"/>
                <w:lang w:val="en-US" w:eastAsia="ja-JP"/>
              </w:rPr>
            </w:pPr>
          </w:p>
        </w:tc>
      </w:tr>
      <w:tr w:rsidR="00976055" w:rsidRPr="001D2C3C" w:rsidTr="00274AD9">
        <w:tc>
          <w:tcPr>
            <w:tcW w:w="8414" w:type="dxa"/>
            <w:shd w:val="clear" w:color="auto" w:fill="auto"/>
          </w:tcPr>
          <w:p w:rsidR="00976055" w:rsidRPr="001D2C3C" w:rsidRDefault="00976055" w:rsidP="00976055">
            <w:pPr>
              <w:spacing w:after="0" w:line="240" w:lineRule="auto"/>
              <w:rPr>
                <w:rFonts w:ascii="Arial" w:eastAsia="MS Mincho" w:hAnsi="Arial" w:cs="Arial"/>
                <w:lang w:val="en-US" w:eastAsia="ja-JP"/>
              </w:rPr>
            </w:pPr>
          </w:p>
        </w:tc>
      </w:tr>
    </w:tbl>
    <w:p w:rsidR="00EB717E" w:rsidRPr="00EB717E" w:rsidRDefault="00EB717E" w:rsidP="00EB717E">
      <w:pPr>
        <w:spacing w:after="0" w:line="240" w:lineRule="auto"/>
        <w:rPr>
          <w:rFonts w:ascii="Arial" w:eastAsia="MS Mincho" w:hAnsi="Arial" w:cs="Arial"/>
          <w:sz w:val="20"/>
          <w:szCs w:val="20"/>
          <w:lang w:val="en-US" w:eastAsia="ja-JP"/>
        </w:rPr>
      </w:pPr>
    </w:p>
    <w:p w:rsidR="00727A5B" w:rsidRDefault="00727A5B">
      <w:pPr>
        <w:rPr>
          <w:rFonts w:ascii="Arial" w:eastAsia="MS Mincho" w:hAnsi="Arial" w:cs="Arial"/>
          <w:sz w:val="20"/>
          <w:szCs w:val="20"/>
          <w:lang w:val="en-US" w:eastAsia="ja-JP"/>
        </w:rPr>
      </w:pPr>
    </w:p>
    <w:sectPr w:rsidR="00727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A5B"/>
    <w:multiLevelType w:val="hybridMultilevel"/>
    <w:tmpl w:val="0ED8E526"/>
    <w:lvl w:ilvl="0" w:tplc="F73AED9C">
      <w:start w:val="6"/>
      <w:numFmt w:val="bullet"/>
      <w:lvlText w:val="-"/>
      <w:lvlJc w:val="left"/>
      <w:pPr>
        <w:ind w:left="720" w:hanging="360"/>
      </w:pPr>
      <w:rPr>
        <w:rFonts w:ascii="Arial" w:eastAsia="MS Mincho"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A614DE"/>
    <w:multiLevelType w:val="hybridMultilevel"/>
    <w:tmpl w:val="728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6A07C5"/>
    <w:multiLevelType w:val="hybridMultilevel"/>
    <w:tmpl w:val="B65C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70A6A"/>
    <w:multiLevelType w:val="hybridMultilevel"/>
    <w:tmpl w:val="8BB8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650C8A"/>
    <w:multiLevelType w:val="hybridMultilevel"/>
    <w:tmpl w:val="8B12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6329A"/>
    <w:multiLevelType w:val="hybridMultilevel"/>
    <w:tmpl w:val="FED28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B87925"/>
    <w:multiLevelType w:val="hybridMultilevel"/>
    <w:tmpl w:val="B06E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13F3A"/>
    <w:multiLevelType w:val="hybridMultilevel"/>
    <w:tmpl w:val="DA3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CF363B"/>
    <w:multiLevelType w:val="hybridMultilevel"/>
    <w:tmpl w:val="6B4E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F56A7"/>
    <w:multiLevelType w:val="hybridMultilevel"/>
    <w:tmpl w:val="017C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8F3543B"/>
    <w:multiLevelType w:val="hybridMultilevel"/>
    <w:tmpl w:val="5E2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606DF"/>
    <w:multiLevelType w:val="hybridMultilevel"/>
    <w:tmpl w:val="7274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577804"/>
    <w:multiLevelType w:val="hybridMultilevel"/>
    <w:tmpl w:val="11C4D1A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num w:numId="1">
    <w:abstractNumId w:val="1"/>
  </w:num>
  <w:num w:numId="2">
    <w:abstractNumId w:val="3"/>
  </w:num>
  <w:num w:numId="3">
    <w:abstractNumId w:val="12"/>
  </w:num>
  <w:num w:numId="4">
    <w:abstractNumId w:val="4"/>
  </w:num>
  <w:num w:numId="5">
    <w:abstractNumId w:val="8"/>
  </w:num>
  <w:num w:numId="6">
    <w:abstractNumId w:val="6"/>
  </w:num>
  <w:num w:numId="7">
    <w:abstractNumId w:val="11"/>
  </w:num>
  <w:num w:numId="8">
    <w:abstractNumId w:val="14"/>
  </w:num>
  <w:num w:numId="9">
    <w:abstractNumId w:val="5"/>
  </w:num>
  <w:num w:numId="10">
    <w:abstractNumId w:val="2"/>
  </w:num>
  <w:num w:numId="11">
    <w:abstractNumId w:val="9"/>
  </w:num>
  <w:num w:numId="12">
    <w:abstractNumId w:val="13"/>
  </w:num>
  <w:num w:numId="13">
    <w:abstractNumId w:val="15"/>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7E"/>
    <w:rsid w:val="0003598C"/>
    <w:rsid w:val="00046DCF"/>
    <w:rsid w:val="00080E3A"/>
    <w:rsid w:val="00085896"/>
    <w:rsid w:val="00090E73"/>
    <w:rsid w:val="000F63CB"/>
    <w:rsid w:val="00102E0F"/>
    <w:rsid w:val="00123F7B"/>
    <w:rsid w:val="00143274"/>
    <w:rsid w:val="0017180E"/>
    <w:rsid w:val="00180906"/>
    <w:rsid w:val="00181158"/>
    <w:rsid w:val="001B7E5F"/>
    <w:rsid w:val="001C6E7E"/>
    <w:rsid w:val="001D2C3C"/>
    <w:rsid w:val="002055EE"/>
    <w:rsid w:val="002075ED"/>
    <w:rsid w:val="00240E11"/>
    <w:rsid w:val="00261DEA"/>
    <w:rsid w:val="00266749"/>
    <w:rsid w:val="00274AD9"/>
    <w:rsid w:val="00276B15"/>
    <w:rsid w:val="002941DB"/>
    <w:rsid w:val="002A0880"/>
    <w:rsid w:val="00353B22"/>
    <w:rsid w:val="0042311E"/>
    <w:rsid w:val="00425395"/>
    <w:rsid w:val="004254B6"/>
    <w:rsid w:val="00475166"/>
    <w:rsid w:val="00477B69"/>
    <w:rsid w:val="00484FAF"/>
    <w:rsid w:val="004906C6"/>
    <w:rsid w:val="00490E7B"/>
    <w:rsid w:val="004A1CD0"/>
    <w:rsid w:val="004C5728"/>
    <w:rsid w:val="004F4C1C"/>
    <w:rsid w:val="0051341C"/>
    <w:rsid w:val="00527154"/>
    <w:rsid w:val="0053579E"/>
    <w:rsid w:val="00561021"/>
    <w:rsid w:val="005972A7"/>
    <w:rsid w:val="005A68C6"/>
    <w:rsid w:val="00604CB0"/>
    <w:rsid w:val="00663BFB"/>
    <w:rsid w:val="00683E5B"/>
    <w:rsid w:val="00687B69"/>
    <w:rsid w:val="00692139"/>
    <w:rsid w:val="006932CE"/>
    <w:rsid w:val="006C1FA1"/>
    <w:rsid w:val="00727A5B"/>
    <w:rsid w:val="007453CB"/>
    <w:rsid w:val="00750BC4"/>
    <w:rsid w:val="007544BC"/>
    <w:rsid w:val="007C0E3E"/>
    <w:rsid w:val="007E0B41"/>
    <w:rsid w:val="007F7A43"/>
    <w:rsid w:val="00824E14"/>
    <w:rsid w:val="0084408A"/>
    <w:rsid w:val="008648FC"/>
    <w:rsid w:val="00880549"/>
    <w:rsid w:val="00897A7F"/>
    <w:rsid w:val="008A2349"/>
    <w:rsid w:val="008A7D8A"/>
    <w:rsid w:val="008B0CAB"/>
    <w:rsid w:val="008B2DC4"/>
    <w:rsid w:val="008B3330"/>
    <w:rsid w:val="008C555C"/>
    <w:rsid w:val="008D0DF0"/>
    <w:rsid w:val="008D49E2"/>
    <w:rsid w:val="00907BAA"/>
    <w:rsid w:val="00911BCF"/>
    <w:rsid w:val="00935A43"/>
    <w:rsid w:val="00944B45"/>
    <w:rsid w:val="009516E7"/>
    <w:rsid w:val="00976055"/>
    <w:rsid w:val="00983132"/>
    <w:rsid w:val="009B52DB"/>
    <w:rsid w:val="009E74CD"/>
    <w:rsid w:val="00A20F0B"/>
    <w:rsid w:val="00A3344D"/>
    <w:rsid w:val="00A35912"/>
    <w:rsid w:val="00A513E5"/>
    <w:rsid w:val="00A5419B"/>
    <w:rsid w:val="00A6327D"/>
    <w:rsid w:val="00A953CA"/>
    <w:rsid w:val="00AF3780"/>
    <w:rsid w:val="00B07A9B"/>
    <w:rsid w:val="00B21EE7"/>
    <w:rsid w:val="00BA4619"/>
    <w:rsid w:val="00BB62C3"/>
    <w:rsid w:val="00BC36E8"/>
    <w:rsid w:val="00BD6147"/>
    <w:rsid w:val="00C2021C"/>
    <w:rsid w:val="00C343BD"/>
    <w:rsid w:val="00C61C2F"/>
    <w:rsid w:val="00C65B2F"/>
    <w:rsid w:val="00C67B9C"/>
    <w:rsid w:val="00C85CB1"/>
    <w:rsid w:val="00CD5EDD"/>
    <w:rsid w:val="00CE31C7"/>
    <w:rsid w:val="00CE4AE7"/>
    <w:rsid w:val="00CE64E7"/>
    <w:rsid w:val="00CF6F9A"/>
    <w:rsid w:val="00D04C0B"/>
    <w:rsid w:val="00D141DC"/>
    <w:rsid w:val="00D510EA"/>
    <w:rsid w:val="00D72F06"/>
    <w:rsid w:val="00D96B82"/>
    <w:rsid w:val="00DB1C9F"/>
    <w:rsid w:val="00DF6BE6"/>
    <w:rsid w:val="00E02BF7"/>
    <w:rsid w:val="00E0337F"/>
    <w:rsid w:val="00E14DB8"/>
    <w:rsid w:val="00E53F59"/>
    <w:rsid w:val="00E76C9A"/>
    <w:rsid w:val="00EA44A9"/>
    <w:rsid w:val="00EB717E"/>
    <w:rsid w:val="00ED0291"/>
    <w:rsid w:val="00ED0A68"/>
    <w:rsid w:val="00EE57C9"/>
    <w:rsid w:val="00F059F7"/>
    <w:rsid w:val="00F21601"/>
    <w:rsid w:val="00F411A5"/>
    <w:rsid w:val="00F7417A"/>
    <w:rsid w:val="00F80C77"/>
    <w:rsid w:val="00F826C7"/>
    <w:rsid w:val="00FA2C5B"/>
    <w:rsid w:val="00FD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CF"/>
    <w:pPr>
      <w:ind w:left="720"/>
      <w:contextualSpacing/>
    </w:pPr>
  </w:style>
  <w:style w:type="table" w:styleId="TableGrid">
    <w:name w:val="Table Grid"/>
    <w:basedOn w:val="TableNormal"/>
    <w:uiPriority w:val="59"/>
    <w:rsid w:val="004C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BA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CF"/>
    <w:pPr>
      <w:ind w:left="720"/>
      <w:contextualSpacing/>
    </w:pPr>
  </w:style>
  <w:style w:type="table" w:styleId="TableGrid">
    <w:name w:val="Table Grid"/>
    <w:basedOn w:val="TableNormal"/>
    <w:uiPriority w:val="59"/>
    <w:rsid w:val="004C5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7B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Brown</dc:creator>
  <cp:lastModifiedBy>Karen Stamp</cp:lastModifiedBy>
  <cp:revision>2</cp:revision>
  <cp:lastPrinted>2016-02-09T10:34:00Z</cp:lastPrinted>
  <dcterms:created xsi:type="dcterms:W3CDTF">2016-02-09T10:35:00Z</dcterms:created>
  <dcterms:modified xsi:type="dcterms:W3CDTF">2016-02-09T10:35:00Z</dcterms:modified>
</cp:coreProperties>
</file>