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1" w:rightFromText="181" w:topFromText="567" w:bottomFromText="567" w:vertAnchor="text" w:horzAnchor="margin" w:tblpY="-4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8"/>
        <w:gridCol w:w="5990"/>
      </w:tblGrid>
      <w:tr w:rsidR="00545129" w14:paraId="37102039" w14:textId="77777777" w:rsidTr="00545129">
        <w:tc>
          <w:tcPr>
            <w:tcW w:w="9514" w:type="dxa"/>
            <w:gridSpan w:val="2"/>
          </w:tcPr>
          <w:p w14:paraId="3E3FF7BF" w14:textId="77777777" w:rsidR="00545129" w:rsidRDefault="00545129" w:rsidP="00545129">
            <w:pPr>
              <w:rPr>
                <w:rFonts w:eastAsiaTheme="minorEastAsia"/>
                <w:bCs/>
                <w:noProof/>
                <w:color w:val="1F497D"/>
                <w:highlight w:val="yellow"/>
                <w:lang w:eastAsia="en-GB"/>
              </w:rPr>
            </w:pPr>
            <w:r>
              <w:rPr>
                <w:noProof/>
                <w:sz w:val="24"/>
                <w:lang w:eastAsia="zh-CN"/>
              </w:rPr>
              <w:drawing>
                <wp:inline distT="0" distB="0" distL="0" distR="0" wp14:anchorId="5861E6A2" wp14:editId="3ED9A733">
                  <wp:extent cx="5938520" cy="749300"/>
                  <wp:effectExtent l="0" t="0" r="5080" b="0"/>
                  <wp:docPr id="7" name="Picture 7" descr="C:\Users\Linsay.Cunningham\Documents\C&amp;E\LC's archive\LOGOs\9715-HCV-3-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nsay.Cunningham\Documents\C&amp;E\LC's archive\LOGOs\9715-HCV-3-transparen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8520" cy="749300"/>
                          </a:xfrm>
                          <a:prstGeom prst="rect">
                            <a:avLst/>
                          </a:prstGeom>
                          <a:noFill/>
                          <a:ln>
                            <a:noFill/>
                          </a:ln>
                        </pic:spPr>
                      </pic:pic>
                    </a:graphicData>
                  </a:graphic>
                </wp:inline>
              </w:drawing>
            </w:r>
          </w:p>
        </w:tc>
      </w:tr>
      <w:tr w:rsidR="00F05A7A" w:rsidRPr="00F05A7A" w14:paraId="1C405C4A" w14:textId="77777777" w:rsidTr="00545129">
        <w:tc>
          <w:tcPr>
            <w:tcW w:w="3879" w:type="dxa"/>
          </w:tcPr>
          <w:p w14:paraId="00B0E947" w14:textId="77777777" w:rsidR="00545129" w:rsidRPr="00F05A7A" w:rsidRDefault="00545129" w:rsidP="00545129">
            <w:pPr>
              <w:rPr>
                <w:rFonts w:eastAsiaTheme="minorEastAsia"/>
                <w:bCs/>
                <w:noProof/>
                <w:highlight w:val="yellow"/>
                <w:lang w:eastAsia="en-GB"/>
              </w:rPr>
            </w:pPr>
            <w:bookmarkStart w:id="0" w:name="_Hlk53581172"/>
          </w:p>
          <w:p w14:paraId="1DF1EF9C" w14:textId="77777777" w:rsidR="004131D1" w:rsidRDefault="004131D1" w:rsidP="00545129">
            <w:pPr>
              <w:rPr>
                <w:rFonts w:eastAsiaTheme="minorEastAsia"/>
                <w:bCs/>
                <w:noProof/>
                <w:highlight w:val="yellow"/>
                <w:lang w:eastAsia="en-GB"/>
              </w:rPr>
            </w:pPr>
          </w:p>
          <w:p w14:paraId="6581EA98" w14:textId="77777777" w:rsidR="005B62C1" w:rsidRDefault="005B62C1" w:rsidP="00545129">
            <w:pPr>
              <w:rPr>
                <w:rFonts w:eastAsiaTheme="minorEastAsia"/>
                <w:bCs/>
                <w:noProof/>
                <w:highlight w:val="yellow"/>
                <w:lang w:eastAsia="en-GB"/>
              </w:rPr>
            </w:pPr>
          </w:p>
          <w:p w14:paraId="4411B407" w14:textId="69FA7BF8" w:rsidR="005B62C1" w:rsidRDefault="005B62C1" w:rsidP="00545129">
            <w:pPr>
              <w:rPr>
                <w:rFonts w:eastAsiaTheme="minorEastAsia"/>
                <w:bCs/>
                <w:noProof/>
                <w:highlight w:val="yellow"/>
                <w:lang w:eastAsia="en-GB"/>
              </w:rPr>
            </w:pPr>
          </w:p>
          <w:p w14:paraId="4972C9C9" w14:textId="53B4050D" w:rsidR="00EC1FB2" w:rsidRDefault="00EC1FB2" w:rsidP="00545129">
            <w:pPr>
              <w:rPr>
                <w:rFonts w:eastAsiaTheme="minorEastAsia"/>
                <w:bCs/>
                <w:noProof/>
                <w:highlight w:val="yellow"/>
                <w:lang w:eastAsia="en-GB"/>
              </w:rPr>
            </w:pPr>
          </w:p>
          <w:p w14:paraId="3C32A62E" w14:textId="77777777" w:rsidR="00EC1FB2" w:rsidRPr="00F05A7A" w:rsidRDefault="00EC1FB2" w:rsidP="00545129">
            <w:pPr>
              <w:rPr>
                <w:rFonts w:eastAsiaTheme="minorEastAsia"/>
                <w:bCs/>
                <w:noProof/>
                <w:highlight w:val="yellow"/>
                <w:lang w:eastAsia="en-GB"/>
              </w:rPr>
            </w:pPr>
          </w:p>
          <w:p w14:paraId="76345ACA" w14:textId="02300AD6" w:rsidR="00545129" w:rsidRPr="004131D1" w:rsidRDefault="00867597" w:rsidP="005B62C1">
            <w:pPr>
              <w:rPr>
                <w:rFonts w:ascii="Arial" w:eastAsiaTheme="minorEastAsia" w:hAnsi="Arial" w:cs="Arial"/>
                <w:bCs/>
                <w:noProof/>
                <w:sz w:val="24"/>
                <w:szCs w:val="24"/>
                <w:highlight w:val="yellow"/>
                <w:lang w:eastAsia="en-GB"/>
              </w:rPr>
            </w:pPr>
            <w:r w:rsidRPr="00867597">
              <w:rPr>
                <w:rFonts w:ascii="Arial" w:eastAsiaTheme="minorEastAsia" w:hAnsi="Arial" w:cs="Arial"/>
                <w:bCs/>
                <w:noProof/>
                <w:sz w:val="24"/>
                <w:szCs w:val="24"/>
                <w:lang w:eastAsia="en-GB"/>
              </w:rPr>
              <w:t>17 May 2021</w:t>
            </w:r>
          </w:p>
        </w:tc>
        <w:tc>
          <w:tcPr>
            <w:tcW w:w="5635" w:type="dxa"/>
          </w:tcPr>
          <w:p w14:paraId="518BE6F3" w14:textId="2E2DBED4" w:rsidR="00545129" w:rsidRPr="00F05A7A" w:rsidRDefault="00545129" w:rsidP="00545129">
            <w:pPr>
              <w:jc w:val="right"/>
              <w:rPr>
                <w:rFonts w:eastAsiaTheme="minorEastAsia"/>
                <w:b/>
                <w:bCs/>
                <w:noProof/>
                <w:color w:val="004A9B"/>
                <w:lang w:eastAsia="en-GB"/>
              </w:rPr>
            </w:pPr>
          </w:p>
          <w:p w14:paraId="7F27E3F2" w14:textId="77777777" w:rsidR="00545129" w:rsidRPr="00AE18AA" w:rsidRDefault="00545129" w:rsidP="00545129">
            <w:pPr>
              <w:jc w:val="right"/>
              <w:rPr>
                <w:rFonts w:eastAsiaTheme="minorEastAsia"/>
                <w:b/>
                <w:bCs/>
                <w:noProof/>
                <w:color w:val="004A9B"/>
                <w:lang w:eastAsia="en-GB"/>
              </w:rPr>
            </w:pPr>
            <w:r w:rsidRPr="00AE18AA">
              <w:rPr>
                <w:rFonts w:eastAsiaTheme="minorEastAsia"/>
                <w:b/>
                <w:bCs/>
                <w:noProof/>
                <w:color w:val="004A9B"/>
                <w:lang w:eastAsia="en-GB"/>
              </w:rPr>
              <w:t>Humber, Coast and Vale</w:t>
            </w:r>
            <w:r w:rsidR="00835328">
              <w:rPr>
                <w:rFonts w:eastAsiaTheme="minorEastAsia"/>
                <w:b/>
                <w:bCs/>
                <w:noProof/>
                <w:color w:val="004A9B"/>
                <w:lang w:eastAsia="en-GB"/>
              </w:rPr>
              <w:t xml:space="preserve"> Health and Care Partnership</w:t>
            </w:r>
          </w:p>
          <w:p w14:paraId="3860BBCB" w14:textId="77777777" w:rsidR="00545129" w:rsidRPr="00AE18AA" w:rsidRDefault="00835328" w:rsidP="00545129">
            <w:pPr>
              <w:jc w:val="right"/>
              <w:rPr>
                <w:color w:val="004A9B"/>
              </w:rPr>
            </w:pPr>
            <w:r>
              <w:rPr>
                <w:rFonts w:eastAsiaTheme="minorEastAsia"/>
                <w:bCs/>
                <w:noProof/>
                <w:color w:val="004A9B"/>
                <w:lang w:eastAsia="en-GB"/>
              </w:rPr>
              <w:t xml:space="preserve">Partnership </w:t>
            </w:r>
            <w:r w:rsidR="00545129" w:rsidRPr="00AE18AA">
              <w:rPr>
                <w:rFonts w:eastAsiaTheme="minorEastAsia"/>
                <w:bCs/>
                <w:noProof/>
                <w:color w:val="004A9B"/>
                <w:lang w:eastAsia="en-GB"/>
              </w:rPr>
              <w:t>Office</w:t>
            </w:r>
          </w:p>
          <w:p w14:paraId="72111E67" w14:textId="77777777" w:rsidR="00545129" w:rsidRPr="00AE18AA" w:rsidRDefault="00545129" w:rsidP="00545129">
            <w:pPr>
              <w:jc w:val="right"/>
              <w:rPr>
                <w:rFonts w:eastAsiaTheme="minorEastAsia"/>
                <w:bCs/>
                <w:noProof/>
                <w:color w:val="004A9B"/>
                <w:lang w:eastAsia="en-GB"/>
              </w:rPr>
            </w:pPr>
            <w:r w:rsidRPr="00AE18AA">
              <w:rPr>
                <w:rFonts w:eastAsiaTheme="minorEastAsia"/>
                <w:bCs/>
                <w:noProof/>
                <w:color w:val="004A9B"/>
                <w:lang w:eastAsia="en-GB"/>
              </w:rPr>
              <w:t>NHS Hull Clinical Commissioning Group</w:t>
            </w:r>
          </w:p>
          <w:p w14:paraId="15C85673" w14:textId="77777777" w:rsidR="00545129" w:rsidRPr="00AE18AA" w:rsidRDefault="00545129" w:rsidP="00545129">
            <w:pPr>
              <w:jc w:val="right"/>
              <w:rPr>
                <w:rFonts w:eastAsiaTheme="minorEastAsia"/>
                <w:bCs/>
                <w:noProof/>
                <w:color w:val="004A9B"/>
                <w:lang w:eastAsia="en-GB"/>
              </w:rPr>
            </w:pPr>
            <w:r w:rsidRPr="00AE18AA">
              <w:rPr>
                <w:rFonts w:eastAsiaTheme="minorEastAsia"/>
                <w:bCs/>
                <w:noProof/>
                <w:color w:val="004A9B"/>
                <w:lang w:eastAsia="en-GB"/>
              </w:rPr>
              <w:t>2nd Floor, Wilberforce Court</w:t>
            </w:r>
          </w:p>
          <w:p w14:paraId="41A92529" w14:textId="77777777" w:rsidR="00545129" w:rsidRPr="00AE18AA" w:rsidRDefault="00545129" w:rsidP="00545129">
            <w:pPr>
              <w:jc w:val="right"/>
              <w:rPr>
                <w:rFonts w:eastAsiaTheme="minorEastAsia"/>
                <w:bCs/>
                <w:noProof/>
                <w:color w:val="004A9B"/>
                <w:lang w:eastAsia="en-GB"/>
              </w:rPr>
            </w:pPr>
            <w:r w:rsidRPr="00AE18AA">
              <w:rPr>
                <w:rFonts w:eastAsiaTheme="minorEastAsia"/>
                <w:bCs/>
                <w:noProof/>
                <w:color w:val="004A9B"/>
                <w:lang w:eastAsia="en-GB"/>
              </w:rPr>
              <w:t>Alfred Gelder Street</w:t>
            </w:r>
          </w:p>
          <w:p w14:paraId="11037641" w14:textId="77777777" w:rsidR="00545129" w:rsidRPr="00AE18AA" w:rsidRDefault="00545129" w:rsidP="00545129">
            <w:pPr>
              <w:jc w:val="right"/>
              <w:rPr>
                <w:rFonts w:eastAsiaTheme="minorEastAsia"/>
                <w:noProof/>
                <w:color w:val="004A9B"/>
                <w:sz w:val="20"/>
                <w:szCs w:val="20"/>
                <w:lang w:eastAsia="en-GB"/>
              </w:rPr>
            </w:pPr>
            <w:r w:rsidRPr="00AE18AA">
              <w:rPr>
                <w:rFonts w:eastAsiaTheme="minorEastAsia"/>
                <w:bCs/>
                <w:noProof/>
                <w:color w:val="004A9B"/>
                <w:lang w:eastAsia="en-GB"/>
              </w:rPr>
              <w:t>Hull, HU1 1UY</w:t>
            </w:r>
            <w:r w:rsidRPr="00AE18AA">
              <w:rPr>
                <w:rFonts w:eastAsiaTheme="minorEastAsia"/>
                <w:noProof/>
                <w:color w:val="004A9B"/>
                <w:sz w:val="20"/>
                <w:szCs w:val="20"/>
                <w:lang w:eastAsia="en-GB"/>
              </w:rPr>
              <w:t xml:space="preserve"> </w:t>
            </w:r>
          </w:p>
          <w:p w14:paraId="4CDC65B8" w14:textId="77777777" w:rsidR="00545129" w:rsidRPr="00AE18AA" w:rsidRDefault="00545129" w:rsidP="00545129">
            <w:pPr>
              <w:rPr>
                <w:rFonts w:eastAsiaTheme="minorEastAsia"/>
                <w:bCs/>
                <w:noProof/>
                <w:color w:val="004A9B"/>
                <w:highlight w:val="yellow"/>
                <w:lang w:eastAsia="en-GB"/>
              </w:rPr>
            </w:pPr>
          </w:p>
          <w:p w14:paraId="3E370FF9" w14:textId="77777777" w:rsidR="00545129" w:rsidRPr="00AE18AA" w:rsidRDefault="00545129" w:rsidP="00545129">
            <w:pPr>
              <w:jc w:val="right"/>
              <w:rPr>
                <w:rFonts w:eastAsiaTheme="minorEastAsia"/>
                <w:bCs/>
                <w:noProof/>
                <w:color w:val="004A9B"/>
                <w:lang w:eastAsia="en-GB"/>
              </w:rPr>
            </w:pPr>
            <w:r w:rsidRPr="00AE18AA">
              <w:rPr>
                <w:rFonts w:eastAsiaTheme="minorEastAsia"/>
                <w:bCs/>
                <w:noProof/>
                <w:color w:val="004A9B"/>
                <w:lang w:eastAsia="en-GB"/>
              </w:rPr>
              <w:t>Tel: 01482 3447</w:t>
            </w:r>
            <w:r w:rsidR="003E05F1">
              <w:rPr>
                <w:rFonts w:eastAsiaTheme="minorEastAsia"/>
                <w:bCs/>
                <w:noProof/>
                <w:color w:val="004A9B"/>
                <w:lang w:eastAsia="en-GB"/>
              </w:rPr>
              <w:t>11</w:t>
            </w:r>
          </w:p>
          <w:p w14:paraId="616C8BE9" w14:textId="77777777" w:rsidR="00545129" w:rsidRPr="00F05A7A" w:rsidRDefault="00545129" w:rsidP="00545129">
            <w:pPr>
              <w:jc w:val="right"/>
              <w:rPr>
                <w:rFonts w:eastAsiaTheme="minorEastAsia"/>
                <w:bCs/>
                <w:noProof/>
                <w:color w:val="004A9B"/>
                <w:lang w:eastAsia="en-GB"/>
              </w:rPr>
            </w:pPr>
            <w:r w:rsidRPr="00AE18AA">
              <w:rPr>
                <w:rFonts w:eastAsiaTheme="minorEastAsia"/>
                <w:bCs/>
                <w:noProof/>
                <w:color w:val="004A9B"/>
                <w:lang w:eastAsia="en-GB"/>
              </w:rPr>
              <w:t xml:space="preserve">Email: </w:t>
            </w:r>
            <w:hyperlink r:id="rId9" w:history="1">
              <w:r w:rsidRPr="00AE18AA">
                <w:rPr>
                  <w:rStyle w:val="Hyperlink"/>
                  <w:bCs/>
                  <w:color w:val="004A9B"/>
                </w:rPr>
                <w:t>hullccg.hcvstppmo@nhs.net</w:t>
              </w:r>
            </w:hyperlink>
          </w:p>
        </w:tc>
      </w:tr>
      <w:bookmarkEnd w:id="0"/>
      <w:tr w:rsidR="00545129" w14:paraId="2CEA00D6" w14:textId="77777777" w:rsidTr="00545129">
        <w:tc>
          <w:tcPr>
            <w:tcW w:w="3879" w:type="dxa"/>
          </w:tcPr>
          <w:p w14:paraId="50AAFF0B" w14:textId="55FFA689" w:rsidR="00545129" w:rsidRPr="004131D1" w:rsidRDefault="00545129" w:rsidP="00EC1FB2">
            <w:pPr>
              <w:rPr>
                <w:rFonts w:ascii="Arial" w:eastAsiaTheme="minorEastAsia" w:hAnsi="Arial" w:cs="Arial"/>
                <w:bCs/>
                <w:noProof/>
                <w:sz w:val="24"/>
                <w:szCs w:val="24"/>
                <w:lang w:eastAsia="en-GB"/>
              </w:rPr>
            </w:pPr>
          </w:p>
          <w:p w14:paraId="4B072023" w14:textId="77777777" w:rsidR="00545129" w:rsidRPr="00F05A7A" w:rsidRDefault="00545129" w:rsidP="00545129">
            <w:pPr>
              <w:rPr>
                <w:rFonts w:eastAsiaTheme="minorEastAsia"/>
                <w:bCs/>
                <w:noProof/>
                <w:highlight w:val="yellow"/>
                <w:lang w:eastAsia="en-GB"/>
              </w:rPr>
            </w:pPr>
          </w:p>
        </w:tc>
        <w:tc>
          <w:tcPr>
            <w:tcW w:w="5635" w:type="dxa"/>
          </w:tcPr>
          <w:p w14:paraId="6B68C211" w14:textId="77777777" w:rsidR="00545129" w:rsidRDefault="00545129" w:rsidP="00545129">
            <w:pPr>
              <w:rPr>
                <w:rFonts w:eastAsiaTheme="minorEastAsia"/>
                <w:bCs/>
                <w:noProof/>
                <w:color w:val="1F497D"/>
                <w:highlight w:val="yellow"/>
                <w:lang w:eastAsia="en-GB"/>
              </w:rPr>
            </w:pPr>
          </w:p>
        </w:tc>
      </w:tr>
      <w:tr w:rsidR="00F05A7A" w:rsidRPr="00F05A7A" w14:paraId="53E55E61" w14:textId="77777777" w:rsidTr="00545129">
        <w:tc>
          <w:tcPr>
            <w:tcW w:w="9514" w:type="dxa"/>
            <w:gridSpan w:val="2"/>
          </w:tcPr>
          <w:p w14:paraId="37490815" w14:textId="6E45A098" w:rsidR="00F0336D" w:rsidRDefault="00F0336D" w:rsidP="00F0336D">
            <w:pPr>
              <w:rPr>
                <w:rFonts w:ascii="Arial" w:hAnsi="Arial" w:cs="Arial"/>
                <w:sz w:val="24"/>
                <w:szCs w:val="24"/>
              </w:rPr>
            </w:pPr>
            <w:r w:rsidRPr="004131D1">
              <w:rPr>
                <w:rFonts w:ascii="Arial" w:hAnsi="Arial" w:cs="Arial"/>
                <w:sz w:val="24"/>
                <w:szCs w:val="24"/>
              </w:rPr>
              <w:t>Dear C</w:t>
            </w:r>
            <w:r w:rsidR="00334747">
              <w:rPr>
                <w:rFonts w:ascii="Arial" w:hAnsi="Arial" w:cs="Arial"/>
                <w:sz w:val="24"/>
                <w:szCs w:val="24"/>
              </w:rPr>
              <w:t>linical Director</w:t>
            </w:r>
          </w:p>
          <w:p w14:paraId="0D12A731" w14:textId="77777777" w:rsidR="00462202" w:rsidRDefault="00462202" w:rsidP="00545129">
            <w:pPr>
              <w:rPr>
                <w:rFonts w:eastAsiaTheme="minorEastAsia"/>
                <w:bCs/>
                <w:noProof/>
                <w:color w:val="004A9B"/>
                <w:highlight w:val="yellow"/>
                <w:lang w:eastAsia="en-GB"/>
              </w:rPr>
            </w:pPr>
          </w:p>
          <w:p w14:paraId="4BB1DF0B" w14:textId="77777777" w:rsidR="00867597" w:rsidRPr="007D321E" w:rsidRDefault="00867597" w:rsidP="00867597">
            <w:pPr>
              <w:rPr>
                <w:rFonts w:ascii="Arial" w:hAnsi="Arial" w:cs="Arial"/>
                <w:b/>
                <w:bCs/>
                <w:sz w:val="24"/>
                <w:szCs w:val="24"/>
              </w:rPr>
            </w:pPr>
            <w:r w:rsidRPr="007D321E">
              <w:rPr>
                <w:rFonts w:ascii="Arial" w:hAnsi="Arial" w:cs="Arial"/>
                <w:b/>
                <w:bCs/>
                <w:sz w:val="24"/>
                <w:szCs w:val="24"/>
              </w:rPr>
              <w:t>Supporting general practice: additional £120 million funding for April to September 2021</w:t>
            </w:r>
          </w:p>
          <w:p w14:paraId="2BA48362" w14:textId="2FF456C7" w:rsidR="001D4972" w:rsidRDefault="001D4972" w:rsidP="00867597">
            <w:pPr>
              <w:rPr>
                <w:rFonts w:ascii="Arial" w:hAnsi="Arial" w:cs="Arial"/>
                <w:sz w:val="24"/>
                <w:szCs w:val="24"/>
              </w:rPr>
            </w:pPr>
          </w:p>
          <w:p w14:paraId="5F496183" w14:textId="6D86DEBA" w:rsidR="00334747" w:rsidRPr="007D321E" w:rsidRDefault="00334747" w:rsidP="00334747">
            <w:pPr>
              <w:pStyle w:val="Default"/>
              <w:jc w:val="both"/>
            </w:pPr>
            <w:r w:rsidRPr="007D321E">
              <w:t>On the 19</w:t>
            </w:r>
            <w:r w:rsidRPr="007D321E">
              <w:rPr>
                <w:vertAlign w:val="superscript"/>
              </w:rPr>
              <w:t>th</w:t>
            </w:r>
            <w:r w:rsidRPr="007D321E">
              <w:t xml:space="preserve"> March 2021 NHS England wrote to all CCGs and GP’s outlining plans for a further £120m to be made available for period April – September 2021.  HCV share of the national allocation is £3.644m</w:t>
            </w:r>
            <w:r>
              <w:t>.</w:t>
            </w:r>
          </w:p>
          <w:p w14:paraId="1D2EC76B" w14:textId="77777777" w:rsidR="00334747" w:rsidRPr="007D321E" w:rsidRDefault="00334747" w:rsidP="00334747">
            <w:pPr>
              <w:pStyle w:val="Default"/>
              <w:jc w:val="both"/>
            </w:pPr>
          </w:p>
          <w:p w14:paraId="26A522C6" w14:textId="6D8D6BB7" w:rsidR="00334747" w:rsidRPr="007D321E" w:rsidRDefault="00334747" w:rsidP="00334747">
            <w:pPr>
              <w:pStyle w:val="Default"/>
            </w:pPr>
            <w:r w:rsidRPr="007D321E">
              <w:t xml:space="preserve">The conditions attached to the allocation and use of this funding are as set out in the initial </w:t>
            </w:r>
            <w:r w:rsidRPr="007D321E">
              <w:rPr>
                <w:i/>
                <w:iCs/>
              </w:rPr>
              <w:t xml:space="preserve">General Practice Covid Capacity Expansion Fund </w:t>
            </w:r>
            <w:r w:rsidRPr="007D321E">
              <w:t>letter of 9 November 2020 and systems are expected to use the funding to make further progress on the seven priority areas.  A copy of the letter is attached.</w:t>
            </w:r>
          </w:p>
          <w:p w14:paraId="2833C3AC" w14:textId="77777777" w:rsidR="00334747" w:rsidRPr="007D321E" w:rsidRDefault="00334747" w:rsidP="00334747">
            <w:pPr>
              <w:pStyle w:val="Default"/>
              <w:jc w:val="both"/>
              <w:rPr>
                <w:color w:val="auto"/>
              </w:rPr>
            </w:pPr>
          </w:p>
          <w:p w14:paraId="64E66ABC" w14:textId="77777777" w:rsidR="00334747" w:rsidRPr="007D321E" w:rsidRDefault="00334747" w:rsidP="00334747">
            <w:pPr>
              <w:pStyle w:val="Default"/>
              <w:jc w:val="both"/>
              <w:rPr>
                <w:color w:val="auto"/>
              </w:rPr>
            </w:pPr>
            <w:r w:rsidRPr="007D321E">
              <w:rPr>
                <w:color w:val="auto"/>
              </w:rPr>
              <w:t xml:space="preserve">We recognise that primary care has a key role at place and the wider ICS addressing backlog of care caused by the pandemic across the whole system including the hidden waiting lists within General Practice.  </w:t>
            </w:r>
          </w:p>
          <w:p w14:paraId="7699928C" w14:textId="77777777" w:rsidR="00334747" w:rsidRPr="007D321E" w:rsidRDefault="00334747" w:rsidP="00334747">
            <w:pPr>
              <w:pStyle w:val="Default"/>
              <w:jc w:val="both"/>
              <w:rPr>
                <w:color w:val="auto"/>
              </w:rPr>
            </w:pPr>
          </w:p>
          <w:p w14:paraId="7C980668" w14:textId="3F7DDB6C" w:rsidR="00334747" w:rsidRPr="007D321E" w:rsidRDefault="00334747" w:rsidP="00334747">
            <w:pPr>
              <w:pStyle w:val="Default"/>
              <w:jc w:val="both"/>
              <w:rPr>
                <w:color w:val="auto"/>
              </w:rPr>
            </w:pPr>
            <w:r w:rsidRPr="007D321E">
              <w:rPr>
                <w:color w:val="auto"/>
              </w:rPr>
              <w:t>HCV ICS Executive Team has agreed an approach to making the funding available to all GP Practices through Primary Care Networks.  This approach will enable the PCN to work at scale for specific priority areas with any residual funding being made available to the member practices to work on very specific priorities</w:t>
            </w:r>
            <w:r w:rsidR="006023DD">
              <w:rPr>
                <w:color w:val="auto"/>
              </w:rPr>
              <w:t>,</w:t>
            </w:r>
            <w:r w:rsidRPr="007D321E">
              <w:rPr>
                <w:color w:val="auto"/>
              </w:rPr>
              <w:t xml:space="preserve"> as set out </w:t>
            </w:r>
            <w:proofErr w:type="gramStart"/>
            <w:r w:rsidRPr="007D321E">
              <w:rPr>
                <w:color w:val="auto"/>
              </w:rPr>
              <w:t>below:-</w:t>
            </w:r>
            <w:proofErr w:type="gramEnd"/>
          </w:p>
          <w:p w14:paraId="6F3AC63B" w14:textId="77777777" w:rsidR="00334747" w:rsidRPr="007D321E" w:rsidRDefault="00334747" w:rsidP="00334747">
            <w:pPr>
              <w:pStyle w:val="Default"/>
              <w:jc w:val="both"/>
              <w:rPr>
                <w:color w:val="auto"/>
              </w:rPr>
            </w:pPr>
          </w:p>
          <w:p w14:paraId="35711DBD" w14:textId="77777777" w:rsidR="00462202" w:rsidRPr="00462202" w:rsidRDefault="00334747" w:rsidP="00334747">
            <w:pPr>
              <w:pStyle w:val="Default"/>
              <w:numPr>
                <w:ilvl w:val="0"/>
                <w:numId w:val="4"/>
              </w:numPr>
              <w:jc w:val="both"/>
              <w:rPr>
                <w:color w:val="auto"/>
              </w:rPr>
            </w:pPr>
            <w:r w:rsidRPr="007D321E">
              <w:t>Continuing to make inroads into the backlog of appointments including for chronic disease management and routine vaccinations and immunisations to enable all patients who have been due an ongoing review to have received that review by 30</w:t>
            </w:r>
            <w:r w:rsidRPr="007D321E">
              <w:rPr>
                <w:vertAlign w:val="superscript"/>
              </w:rPr>
              <w:t>th</w:t>
            </w:r>
            <w:r w:rsidRPr="007D321E">
              <w:t xml:space="preserve"> September 2021 and any patients due a vaccination and immunisation have been offered an appointment to receive one by </w:t>
            </w:r>
          </w:p>
          <w:p w14:paraId="3CD3A86A" w14:textId="656A2DEF" w:rsidR="00334747" w:rsidRPr="007D321E" w:rsidRDefault="00334747" w:rsidP="00462202">
            <w:pPr>
              <w:pStyle w:val="Default"/>
              <w:ind w:left="720"/>
              <w:jc w:val="both"/>
              <w:rPr>
                <w:color w:val="auto"/>
              </w:rPr>
            </w:pPr>
            <w:r w:rsidRPr="007D321E">
              <w:t>30</w:t>
            </w:r>
            <w:r w:rsidRPr="007D321E">
              <w:rPr>
                <w:vertAlign w:val="superscript"/>
              </w:rPr>
              <w:t>th</w:t>
            </w:r>
            <w:r w:rsidRPr="007D321E">
              <w:t xml:space="preserve"> September 2021.</w:t>
            </w:r>
          </w:p>
          <w:p w14:paraId="30D2E14D" w14:textId="77777777" w:rsidR="00462202" w:rsidRPr="00462202" w:rsidRDefault="00334747" w:rsidP="00334747">
            <w:pPr>
              <w:pStyle w:val="Default"/>
              <w:numPr>
                <w:ilvl w:val="0"/>
                <w:numId w:val="4"/>
              </w:numPr>
              <w:jc w:val="both"/>
              <w:rPr>
                <w:color w:val="auto"/>
              </w:rPr>
            </w:pPr>
            <w:r w:rsidRPr="007D321E">
              <w:t xml:space="preserve">On inequalities, making significant progress on learning disability health checks, with an expectation that all CCGs will without exception reach the target of 67% by March 2022 and achieving at least 33% of LD health checks by </w:t>
            </w:r>
          </w:p>
          <w:p w14:paraId="1EF0C267" w14:textId="4F8EB56C" w:rsidR="00334747" w:rsidRPr="007D321E" w:rsidRDefault="00334747" w:rsidP="00462202">
            <w:pPr>
              <w:pStyle w:val="Default"/>
              <w:ind w:left="720"/>
              <w:jc w:val="both"/>
              <w:rPr>
                <w:color w:val="auto"/>
              </w:rPr>
            </w:pPr>
            <w:r w:rsidRPr="007D321E">
              <w:t>September 2021</w:t>
            </w:r>
          </w:p>
          <w:p w14:paraId="155E9F5F" w14:textId="77777777" w:rsidR="00334747" w:rsidRPr="007D321E" w:rsidRDefault="00334747" w:rsidP="00334747">
            <w:pPr>
              <w:pStyle w:val="Default"/>
              <w:numPr>
                <w:ilvl w:val="0"/>
                <w:numId w:val="4"/>
              </w:numPr>
              <w:jc w:val="both"/>
              <w:rPr>
                <w:color w:val="auto"/>
              </w:rPr>
            </w:pPr>
            <w:r w:rsidRPr="007D321E">
              <w:t>First steps in identifying and supporting patients with Long COVID</w:t>
            </w:r>
          </w:p>
          <w:p w14:paraId="6A14AA98" w14:textId="77777777" w:rsidR="00334747" w:rsidRPr="007D321E" w:rsidRDefault="00334747" w:rsidP="00334747">
            <w:pPr>
              <w:pStyle w:val="Default"/>
              <w:numPr>
                <w:ilvl w:val="0"/>
                <w:numId w:val="4"/>
              </w:numPr>
              <w:jc w:val="both"/>
              <w:rPr>
                <w:color w:val="auto"/>
              </w:rPr>
            </w:pPr>
            <w:r w:rsidRPr="007D321E">
              <w:t>Continuing to support clinically extremely vulnerable patients and maintain the shielding list</w:t>
            </w:r>
          </w:p>
          <w:p w14:paraId="35E17411" w14:textId="239CAC2C" w:rsidR="00334747" w:rsidRPr="007D321E" w:rsidRDefault="00334747" w:rsidP="00334747">
            <w:pPr>
              <w:pStyle w:val="Default"/>
              <w:numPr>
                <w:ilvl w:val="0"/>
                <w:numId w:val="4"/>
              </w:numPr>
              <w:jc w:val="both"/>
              <w:rPr>
                <w:color w:val="auto"/>
              </w:rPr>
            </w:pPr>
            <w:r w:rsidRPr="007D321E">
              <w:lastRenderedPageBreak/>
              <w:t>Engage with place-based leads and GP practices / PCNs to facilitate joint conversations to support the waiting well building on the Professional Leadership Group of the ICS lead by Dr Nigel Wells.</w:t>
            </w:r>
          </w:p>
          <w:p w14:paraId="252E8AC4" w14:textId="77777777" w:rsidR="00334747" w:rsidRPr="007D321E" w:rsidRDefault="00334747" w:rsidP="00334747">
            <w:pPr>
              <w:pStyle w:val="Default"/>
              <w:jc w:val="both"/>
              <w:rPr>
                <w:color w:val="auto"/>
              </w:rPr>
            </w:pPr>
            <w:bookmarkStart w:id="1" w:name="_GoBack"/>
            <w:bookmarkEnd w:id="1"/>
          </w:p>
          <w:p w14:paraId="7E302FB4" w14:textId="6B46D0C3" w:rsidR="00334747" w:rsidRPr="007D321E" w:rsidRDefault="00334747" w:rsidP="00334747">
            <w:pPr>
              <w:pStyle w:val="Default"/>
              <w:jc w:val="both"/>
              <w:rPr>
                <w:color w:val="auto"/>
              </w:rPr>
            </w:pPr>
            <w:r w:rsidRPr="007D321E">
              <w:rPr>
                <w:color w:val="auto"/>
              </w:rPr>
              <w:t>To support PCN and practices in understanding progress towards these priorities we are establishing a Dashboard of key indicators that will measure progress and identify areas that require some wider support to enable recovery</w:t>
            </w:r>
            <w:r w:rsidR="004B30F4">
              <w:rPr>
                <w:color w:val="auto"/>
              </w:rPr>
              <w:t xml:space="preserve">, an approach that has been supported by the local LMCs.  </w:t>
            </w:r>
            <w:r w:rsidRPr="007D321E">
              <w:rPr>
                <w:color w:val="auto"/>
              </w:rPr>
              <w:t>A copy of the Dashboard will be shared with CCG Heads of Primary Care once established who will work with PCN and GP Practices to understand what support may be needed from colleagues for specific indicators.</w:t>
            </w:r>
          </w:p>
          <w:p w14:paraId="19A301A8" w14:textId="77777777" w:rsidR="00334747" w:rsidRPr="007D321E" w:rsidRDefault="00334747" w:rsidP="00334747">
            <w:pPr>
              <w:pStyle w:val="Default"/>
              <w:jc w:val="both"/>
              <w:rPr>
                <w:color w:val="auto"/>
              </w:rPr>
            </w:pPr>
          </w:p>
          <w:p w14:paraId="1D8347D9" w14:textId="6CEE0114" w:rsidR="00334747" w:rsidRDefault="00334747" w:rsidP="00334747">
            <w:pPr>
              <w:pStyle w:val="Default"/>
              <w:jc w:val="both"/>
              <w:rPr>
                <w:color w:val="auto"/>
              </w:rPr>
            </w:pPr>
            <w:r w:rsidRPr="007D321E">
              <w:rPr>
                <w:color w:val="auto"/>
              </w:rPr>
              <w:t>A copy of the GP Practice allocation is attached to this letter and will be made available to CCGs over the coming weeks</w:t>
            </w:r>
            <w:r>
              <w:rPr>
                <w:color w:val="auto"/>
              </w:rPr>
              <w:t xml:space="preserve"> and transferred across to PCNs</w:t>
            </w:r>
            <w:r w:rsidRPr="007D321E">
              <w:rPr>
                <w:color w:val="auto"/>
              </w:rPr>
              <w:t xml:space="preserve">.  CCG Heads of Primary Care will work with PCNs to agree a plan for the funding being made available linked to the priorities outlined in this letter.  </w:t>
            </w:r>
          </w:p>
          <w:p w14:paraId="01AC5A26" w14:textId="4C0B1D46" w:rsidR="00EB00B8" w:rsidRDefault="00EB00B8" w:rsidP="00334747">
            <w:pPr>
              <w:pStyle w:val="Default"/>
              <w:jc w:val="both"/>
              <w:rPr>
                <w:color w:val="auto"/>
              </w:rPr>
            </w:pPr>
          </w:p>
          <w:p w14:paraId="616EEC7C" w14:textId="34AC869B" w:rsidR="00EB00B8" w:rsidRPr="007D321E" w:rsidRDefault="00EB00B8" w:rsidP="00334747">
            <w:pPr>
              <w:pStyle w:val="Default"/>
              <w:jc w:val="both"/>
              <w:rPr>
                <w:color w:val="auto"/>
              </w:rPr>
            </w:pPr>
            <w:r w:rsidRPr="004B30F4">
              <w:rPr>
                <w:color w:val="auto"/>
              </w:rPr>
              <w:t xml:space="preserve">Thankyou for your continued hard work in these difficult times, it is acknowledged and much </w:t>
            </w:r>
            <w:r w:rsidR="004B30F4" w:rsidRPr="004B30F4">
              <w:rPr>
                <w:color w:val="auto"/>
              </w:rPr>
              <w:t>appreciated as we</w:t>
            </w:r>
            <w:r w:rsidR="004B30F4">
              <w:rPr>
                <w:color w:val="auto"/>
              </w:rPr>
              <w:t xml:space="preserve"> continue to support the response to the pandemic.</w:t>
            </w:r>
          </w:p>
          <w:p w14:paraId="2013E539" w14:textId="63B82258" w:rsidR="00FC3C10" w:rsidRDefault="00FC3C10" w:rsidP="001D4972">
            <w:pPr>
              <w:rPr>
                <w:rFonts w:ascii="Arial" w:hAnsi="Arial" w:cs="Arial"/>
                <w:sz w:val="24"/>
                <w:szCs w:val="24"/>
              </w:rPr>
            </w:pPr>
          </w:p>
          <w:p w14:paraId="432E3EB0" w14:textId="36D82B3E" w:rsidR="00867597" w:rsidRDefault="00334747" w:rsidP="001D4972">
            <w:pPr>
              <w:rPr>
                <w:rFonts w:ascii="Arial" w:hAnsi="Arial" w:cs="Arial"/>
                <w:sz w:val="24"/>
                <w:szCs w:val="24"/>
              </w:rPr>
            </w:pPr>
            <w:r>
              <w:rPr>
                <w:rFonts w:ascii="Arial" w:hAnsi="Arial" w:cs="Arial"/>
                <w:sz w:val="24"/>
                <w:szCs w:val="24"/>
              </w:rPr>
              <w:t>Kind regards.</w:t>
            </w:r>
          </w:p>
          <w:p w14:paraId="57D6CD4A" w14:textId="668E7F00" w:rsidR="00867597" w:rsidRDefault="00867597" w:rsidP="001D4972">
            <w:pPr>
              <w:rPr>
                <w:rFonts w:ascii="Arial" w:hAnsi="Arial" w:cs="Arial"/>
                <w:sz w:val="24"/>
                <w:szCs w:val="24"/>
              </w:rPr>
            </w:pPr>
          </w:p>
          <w:p w14:paraId="03AB0B28" w14:textId="77777777" w:rsidR="00867597" w:rsidRDefault="00867597" w:rsidP="001D4972">
            <w:pPr>
              <w:rPr>
                <w:rFonts w:ascii="Arial" w:hAnsi="Arial" w:cs="Arial"/>
                <w:sz w:val="24"/>
                <w:szCs w:val="24"/>
              </w:rPr>
            </w:pPr>
          </w:p>
          <w:p w14:paraId="03095BFB" w14:textId="2FB58307" w:rsidR="007A11D1" w:rsidRPr="007A11D1" w:rsidRDefault="007A11D1" w:rsidP="00FC3C10">
            <w:pPr>
              <w:rPr>
                <w:rFonts w:ascii="Arial" w:hAnsi="Arial" w:cs="Arial"/>
                <w:sz w:val="24"/>
                <w:szCs w:val="24"/>
              </w:rPr>
            </w:pPr>
            <w:r w:rsidRPr="007A11D1">
              <w:rPr>
                <w:noProof/>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67456" behindDoc="0" locked="0" layoutInCell="1" allowOverlap="1" wp14:anchorId="520989DC" wp14:editId="26E2DCBF">
                  <wp:simplePos x="0" y="0"/>
                  <wp:positionH relativeFrom="column">
                    <wp:posOffset>2875280</wp:posOffset>
                  </wp:positionH>
                  <wp:positionV relativeFrom="paragraph">
                    <wp:posOffset>168910</wp:posOffset>
                  </wp:positionV>
                  <wp:extent cx="1000125" cy="571500"/>
                  <wp:effectExtent l="0" t="0" r="9525" b="0"/>
                  <wp:wrapNone/>
                  <wp:docPr id="5" name="Picture 5" descr="HP Signature"/>
                  <wp:cNvGraphicFramePr/>
                  <a:graphic xmlns:a="http://schemas.openxmlformats.org/drawingml/2006/main">
                    <a:graphicData uri="http://schemas.openxmlformats.org/drawingml/2006/picture">
                      <pic:pic xmlns:pic="http://schemas.openxmlformats.org/drawingml/2006/picture">
                        <pic:nvPicPr>
                          <pic:cNvPr id="5" name="Picture 5" descr="HP Signature"/>
                          <pic:cNvPicPr/>
                        </pic:nvPicPr>
                        <pic:blipFill>
                          <a:blip r:embed="rId10">
                            <a:extLst>
                              <a:ext uri="{BEBA8EAE-BF5A-486C-A8C5-ECC9F3942E4B}">
                                <a14:imgProps xmlns:a14="http://schemas.microsoft.com/office/drawing/2010/main">
                                  <a14:imgLayer r:embed="rId11">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10001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3C10" w:rsidRPr="004131D1">
              <w:rPr>
                <w:rFonts w:ascii="Arial" w:hAnsi="Arial" w:cs="Arial"/>
                <w:sz w:val="24"/>
                <w:szCs w:val="24"/>
              </w:rPr>
              <w:t>Yours Sincer</w:t>
            </w:r>
            <w:r>
              <w:rPr>
                <w:rFonts w:ascii="Arial" w:hAnsi="Arial" w:cs="Arial"/>
                <w:sz w:val="24"/>
                <w:szCs w:val="24"/>
              </w:rPr>
              <w:t>ely</w:t>
            </w:r>
          </w:p>
          <w:p w14:paraId="22DD7331" w14:textId="6D8202E2" w:rsidR="007A11D1" w:rsidRPr="007A11D1" w:rsidRDefault="007A11D1" w:rsidP="00FC3C10">
            <w:pPr>
              <w:rPr>
                <w:rFonts w:eastAsiaTheme="minorEastAsia"/>
                <w:bCs/>
                <w:noProof/>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sz w:val="24"/>
                <w:szCs w:val="24"/>
              </w:rPr>
              <w:drawing>
                <wp:anchor distT="0" distB="0" distL="114300" distR="114300" simplePos="0" relativeHeight="251661312" behindDoc="1" locked="0" layoutInCell="1" allowOverlap="1" wp14:anchorId="3CD9389B" wp14:editId="054A50FE">
                  <wp:simplePos x="0" y="0"/>
                  <wp:positionH relativeFrom="margin">
                    <wp:posOffset>-66675</wp:posOffset>
                  </wp:positionH>
                  <wp:positionV relativeFrom="paragraph">
                    <wp:posOffset>101600</wp:posOffset>
                  </wp:positionV>
                  <wp:extent cx="1466850" cy="457200"/>
                  <wp:effectExtent l="0" t="0" r="0" b="0"/>
                  <wp:wrapTight wrapText="bothSides">
                    <wp:wrapPolygon edited="0">
                      <wp:start x="0" y="0"/>
                      <wp:lineTo x="0" y="20700"/>
                      <wp:lineTo x="21319" y="20700"/>
                      <wp:lineTo x="2131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685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F6D949" w14:textId="2C739DAE" w:rsidR="00FC3C10" w:rsidRPr="007A11D1" w:rsidRDefault="00FC3C10" w:rsidP="00FC3C10">
            <w:pPr>
              <w:rPr>
                <w:rFonts w:eastAsiaTheme="minorEastAsia"/>
                <w:bCs/>
                <w:noProof/>
                <w:color w:val="000000" w:themeColor="text1"/>
                <w:highlight w:val="yellow"/>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7A0C03" w14:textId="6154AC3C" w:rsidR="00FC3C10" w:rsidRDefault="00FC3C10" w:rsidP="00FC3C10">
            <w:pPr>
              <w:rPr>
                <w:rFonts w:ascii="Arial" w:hAnsi="Arial" w:cs="Arial"/>
                <w:sz w:val="24"/>
                <w:szCs w:val="24"/>
              </w:rPr>
            </w:pPr>
            <w:r>
              <w:rPr>
                <w:rFonts w:ascii="Arial" w:hAnsi="Arial" w:cs="Arial"/>
                <w:sz w:val="24"/>
                <w:szCs w:val="24"/>
              </w:rPr>
              <w:t xml:space="preserve"> </w:t>
            </w:r>
            <w:r w:rsidR="00016840">
              <w:rPr>
                <w:rFonts w:ascii="Arial" w:hAnsi="Arial" w:cs="Arial"/>
                <w:sz w:val="24"/>
                <w:szCs w:val="24"/>
              </w:rPr>
              <w:t xml:space="preserve">                                             </w:t>
            </w:r>
          </w:p>
          <w:p w14:paraId="7C9E99D5" w14:textId="34ABC155" w:rsidR="007A11D1" w:rsidRDefault="007A11D1" w:rsidP="007A11D1">
            <w:pPr>
              <w:rPr>
                <w:rFonts w:ascii="Arial" w:hAnsi="Arial" w:cs="Arial"/>
                <w:sz w:val="24"/>
                <w:szCs w:val="24"/>
              </w:rPr>
            </w:pPr>
            <w:r w:rsidRPr="007A11D1">
              <w:rPr>
                <w:rFonts w:ascii="Arial" w:hAnsi="Arial" w:cs="Arial"/>
                <w:noProof/>
                <w:sz w:val="24"/>
                <w:szCs w:val="24"/>
              </w:rPr>
              <mc:AlternateContent>
                <mc:Choice Requires="wps">
                  <w:drawing>
                    <wp:anchor distT="45720" distB="45720" distL="114300" distR="114300" simplePos="0" relativeHeight="251669504" behindDoc="0" locked="0" layoutInCell="1" allowOverlap="1" wp14:anchorId="6E650F62" wp14:editId="25FDF03B">
                      <wp:simplePos x="0" y="0"/>
                      <wp:positionH relativeFrom="column">
                        <wp:posOffset>2875280</wp:posOffset>
                      </wp:positionH>
                      <wp:positionV relativeFrom="paragraph">
                        <wp:posOffset>65404</wp:posOffset>
                      </wp:positionV>
                      <wp:extent cx="3113405" cy="12287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3405" cy="1228725"/>
                              </a:xfrm>
                              <a:prstGeom prst="rect">
                                <a:avLst/>
                              </a:prstGeom>
                              <a:solidFill>
                                <a:srgbClr val="FFFFFF"/>
                              </a:solidFill>
                              <a:ln w="9525">
                                <a:noFill/>
                                <a:miter lim="800000"/>
                                <a:headEnd/>
                                <a:tailEnd/>
                              </a:ln>
                            </wps:spPr>
                            <wps:txbx>
                              <w:txbxContent>
                                <w:p w14:paraId="429F6999" w14:textId="50F93D23" w:rsidR="007A11D1" w:rsidRPr="007A11D1" w:rsidRDefault="007A11D1" w:rsidP="007A11D1">
                                  <w:pPr>
                                    <w:pStyle w:val="NoSpacing"/>
                                    <w:rPr>
                                      <w:rFonts w:ascii="Arial" w:hAnsi="Arial" w:cs="Arial"/>
                                      <w:sz w:val="24"/>
                                      <w:szCs w:val="24"/>
                                    </w:rPr>
                                  </w:pPr>
                                  <w:r w:rsidRPr="007A11D1">
                                    <w:rPr>
                                      <w:rFonts w:ascii="Arial" w:hAnsi="Arial" w:cs="Arial"/>
                                      <w:sz w:val="24"/>
                                      <w:szCs w:val="24"/>
                                    </w:rPr>
                                    <w:t>Helen Phillips</w:t>
                                  </w:r>
                                </w:p>
                                <w:p w14:paraId="04AB4109" w14:textId="624CD5FB" w:rsidR="007A11D1" w:rsidRPr="007A11D1" w:rsidRDefault="007A11D1" w:rsidP="007A11D1">
                                  <w:pPr>
                                    <w:pStyle w:val="NoSpacing"/>
                                    <w:rPr>
                                      <w:rFonts w:ascii="Arial" w:hAnsi="Arial" w:cs="Arial"/>
                                      <w:sz w:val="24"/>
                                      <w:szCs w:val="24"/>
                                    </w:rPr>
                                  </w:pPr>
                                  <w:r w:rsidRPr="007A11D1">
                                    <w:rPr>
                                      <w:rFonts w:ascii="Arial" w:hAnsi="Arial" w:cs="Arial"/>
                                      <w:sz w:val="24"/>
                                      <w:szCs w:val="24"/>
                                    </w:rPr>
                                    <w:t>Head of Primary Care (North Yorkshire and Humber)</w:t>
                                  </w:r>
                                </w:p>
                                <w:p w14:paraId="38B9E510" w14:textId="6BB02398" w:rsidR="007A11D1" w:rsidRPr="007A11D1" w:rsidRDefault="007A11D1" w:rsidP="007A11D1">
                                  <w:pPr>
                                    <w:pStyle w:val="NoSpacing"/>
                                    <w:rPr>
                                      <w:rFonts w:ascii="Arial" w:hAnsi="Arial" w:cs="Arial"/>
                                      <w:sz w:val="24"/>
                                      <w:szCs w:val="24"/>
                                    </w:rPr>
                                  </w:pPr>
                                  <w:r w:rsidRPr="007A11D1">
                                    <w:rPr>
                                      <w:rFonts w:ascii="Arial" w:hAnsi="Arial" w:cs="Arial"/>
                                      <w:sz w:val="24"/>
                                      <w:szCs w:val="24"/>
                                    </w:rPr>
                                    <w:t>NHS England and NHS Improvement – North East and Yorkshire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E650F62" id="_x0000_t202" coordsize="21600,21600" o:spt="202" path="m,l,21600r21600,l21600,xe">
                      <v:stroke joinstyle="miter"/>
                      <v:path gradientshapeok="t" o:connecttype="rect"/>
                    </v:shapetype>
                    <v:shape id="Text Box 2" o:spid="_x0000_s1026" type="#_x0000_t202" style="position:absolute;margin-left:226.4pt;margin-top:5.15pt;width:245.15pt;height:96.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" stroked="f">
                      <v:textbox>
                        <w:txbxContent>
                          <w:p w14:paraId="429F6999" w14:textId="50F93D23" w:rsidR="007A11D1" w:rsidRPr="007A11D1" w:rsidRDefault="007A11D1" w:rsidP="007A11D1">
                            <w:pPr>
                              <w:pStyle w:val="NoSpacing"/>
                              <w:rPr>
                                <w:rFonts w:ascii="Arial" w:hAnsi="Arial" w:cs="Arial"/>
                                <w:sz w:val="24"/>
                                <w:szCs w:val="24"/>
                              </w:rPr>
                            </w:pPr>
                            <w:r w:rsidRPr="007A11D1">
                              <w:rPr>
                                <w:rFonts w:ascii="Arial" w:hAnsi="Arial" w:cs="Arial"/>
                                <w:sz w:val="24"/>
                                <w:szCs w:val="24"/>
                              </w:rPr>
                              <w:t>Helen Phillips</w:t>
                            </w:r>
                          </w:p>
                          <w:p w14:paraId="04AB4109" w14:textId="624CD5FB" w:rsidR="007A11D1" w:rsidRPr="007A11D1" w:rsidRDefault="007A11D1" w:rsidP="007A11D1">
                            <w:pPr>
                              <w:pStyle w:val="NoSpacing"/>
                              <w:rPr>
                                <w:rFonts w:ascii="Arial" w:hAnsi="Arial" w:cs="Arial"/>
                                <w:sz w:val="24"/>
                                <w:szCs w:val="24"/>
                              </w:rPr>
                            </w:pPr>
                            <w:r w:rsidRPr="007A11D1">
                              <w:rPr>
                                <w:rFonts w:ascii="Arial" w:hAnsi="Arial" w:cs="Arial"/>
                                <w:sz w:val="24"/>
                                <w:szCs w:val="24"/>
                              </w:rPr>
                              <w:t>Head of Primary Care (North Yorkshire and Humber)</w:t>
                            </w:r>
                          </w:p>
                          <w:p w14:paraId="38B9E510" w14:textId="6BB02398" w:rsidR="007A11D1" w:rsidRPr="007A11D1" w:rsidRDefault="007A11D1" w:rsidP="007A11D1">
                            <w:pPr>
                              <w:pStyle w:val="NoSpacing"/>
                              <w:rPr>
                                <w:rFonts w:ascii="Arial" w:hAnsi="Arial" w:cs="Arial"/>
                                <w:sz w:val="24"/>
                                <w:szCs w:val="24"/>
                              </w:rPr>
                            </w:pPr>
                            <w:r w:rsidRPr="007A11D1">
                              <w:rPr>
                                <w:rFonts w:ascii="Arial" w:hAnsi="Arial" w:cs="Arial"/>
                                <w:sz w:val="24"/>
                                <w:szCs w:val="24"/>
                              </w:rPr>
                              <w:t>NHS England and NHS Improvement – North East and Yorkshire</w:t>
                            </w:r>
                          </w:p>
                        </w:txbxContent>
                      </v:textbox>
                    </v:shape>
                  </w:pict>
                </mc:Fallback>
              </mc:AlternateContent>
            </w:r>
            <w:r w:rsidR="00B314C2" w:rsidRPr="00B314C2">
              <w:rPr>
                <w:rFonts w:ascii="Arial" w:hAnsi="Arial" w:cs="Arial"/>
                <w:noProof/>
                <w:sz w:val="24"/>
                <w:szCs w:val="24"/>
              </w:rPr>
              <mc:AlternateContent>
                <mc:Choice Requires="wps">
                  <w:drawing>
                    <wp:anchor distT="45720" distB="45720" distL="114300" distR="114300" simplePos="0" relativeHeight="251664384" behindDoc="1" locked="0" layoutInCell="1" allowOverlap="1" wp14:anchorId="07892318" wp14:editId="15E8A209">
                      <wp:simplePos x="0" y="0"/>
                      <wp:positionH relativeFrom="column">
                        <wp:posOffset>3656330</wp:posOffset>
                      </wp:positionH>
                      <wp:positionV relativeFrom="paragraph">
                        <wp:posOffset>118110</wp:posOffset>
                      </wp:positionV>
                      <wp:extent cx="2533650" cy="14573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457325"/>
                              </a:xfrm>
                              <a:prstGeom prst="rect">
                                <a:avLst/>
                              </a:prstGeom>
                              <a:solidFill>
                                <a:srgbClr val="FFFFFF"/>
                              </a:solidFill>
                              <a:ln w="9525">
                                <a:noFill/>
                                <a:miter lim="800000"/>
                                <a:headEnd/>
                                <a:tailEnd/>
                              </a:ln>
                            </wps:spPr>
                            <wps:txbx>
                              <w:txbxContent>
                                <w:p w14:paraId="71F5B5A7" w14:textId="79B61149" w:rsidR="00B314C2" w:rsidRPr="00B314C2" w:rsidRDefault="00B314C2" w:rsidP="00B314C2">
                                  <w:pPr>
                                    <w:pStyle w:val="ListParagraph"/>
                                    <w:rPr>
                                      <w:rFonts w:ascii="Arial" w:hAnsi="Arial" w:cs="Arial"/>
                                      <w:sz w:val="24"/>
                                      <w:szCs w:val="24"/>
                                      <w:lang w:eastAsia="en-GB"/>
                                    </w:rPr>
                                  </w:pPr>
                                  <w:r w:rsidRPr="00B314C2">
                                    <w:rPr>
                                      <w:rFonts w:ascii="Arial" w:hAnsi="Arial" w:cs="Arial"/>
                                      <w:sz w:val="24"/>
                                      <w:szCs w:val="24"/>
                                      <w:lang w:eastAsia="en-GB"/>
                                    </w:rPr>
                                    <w:t>Head of Primary Care (North Yorkshire and Humber)</w:t>
                                  </w:r>
                                </w:p>
                                <w:p w14:paraId="2889D8CD" w14:textId="58C21F72" w:rsidR="00B314C2" w:rsidRPr="00B314C2" w:rsidRDefault="00B314C2" w:rsidP="00B314C2">
                                  <w:pPr>
                                    <w:pStyle w:val="ListParagraph"/>
                                    <w:rPr>
                                      <w:rFonts w:ascii="Arial" w:hAnsi="Arial" w:cs="Arial"/>
                                      <w:sz w:val="24"/>
                                      <w:szCs w:val="24"/>
                                      <w:lang w:eastAsia="en-GB"/>
                                    </w:rPr>
                                  </w:pPr>
                                  <w:r w:rsidRPr="00B314C2">
                                    <w:rPr>
                                      <w:rFonts w:ascii="Arial" w:hAnsi="Arial" w:cs="Arial"/>
                                      <w:sz w:val="24"/>
                                      <w:szCs w:val="24"/>
                                      <w:lang w:eastAsia="en-GB"/>
                                    </w:rPr>
                                    <w:t>NHS England and NHS Improvement – North East and Yorkshire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7892318" id="_x0000_s1027" type="#_x0000_t202" style="position:absolute;margin-left:287.9pt;margin-top:9.3pt;width:199.5pt;height:114.7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" stroked="f">
                      <v:textbox>
                        <w:txbxContent>
                          <w:p w14:paraId="71F5B5A7" w14:textId="79B61149" w:rsidR="00B314C2" w:rsidRPr="00B314C2" w:rsidRDefault="00B314C2" w:rsidP="00B314C2">
                            <w:pPr>
                              <w:pStyle w:val="ListParagraph"/>
                              <w:rPr>
                                <w:rFonts w:ascii="Arial" w:hAnsi="Arial" w:cs="Arial"/>
                                <w:sz w:val="24"/>
                                <w:szCs w:val="24"/>
                                <w:lang w:eastAsia="en-GB"/>
                              </w:rPr>
                            </w:pPr>
                            <w:r w:rsidRPr="00B314C2">
                              <w:rPr>
                                <w:rFonts w:ascii="Arial" w:hAnsi="Arial" w:cs="Arial"/>
                                <w:sz w:val="24"/>
                                <w:szCs w:val="24"/>
                                <w:lang w:eastAsia="en-GB"/>
                              </w:rPr>
                              <w:t>Head of Primary Care (North Yorkshire and Humber)</w:t>
                            </w:r>
                          </w:p>
                          <w:p w14:paraId="2889D8CD" w14:textId="58C21F72" w:rsidR="00B314C2" w:rsidRPr="00B314C2" w:rsidRDefault="00B314C2" w:rsidP="00B314C2">
                            <w:pPr>
                              <w:pStyle w:val="ListParagraph"/>
                              <w:rPr>
                                <w:rFonts w:ascii="Arial" w:hAnsi="Arial" w:cs="Arial"/>
                                <w:sz w:val="24"/>
                                <w:szCs w:val="24"/>
                                <w:lang w:eastAsia="en-GB"/>
                              </w:rPr>
                            </w:pPr>
                            <w:r w:rsidRPr="00B314C2">
                              <w:rPr>
                                <w:rFonts w:ascii="Arial" w:hAnsi="Arial" w:cs="Arial"/>
                                <w:sz w:val="24"/>
                                <w:szCs w:val="24"/>
                                <w:lang w:eastAsia="en-GB"/>
                              </w:rPr>
                              <w:t>NHS England and NHS Improvement – North East and Yorkshire</w:t>
                            </w:r>
                          </w:p>
                        </w:txbxContent>
                      </v:textbox>
                    </v:shape>
                  </w:pict>
                </mc:Fallback>
              </mc:AlternateContent>
            </w:r>
          </w:p>
          <w:p w14:paraId="5B04F84F" w14:textId="2E44BC26" w:rsidR="00FC3C10" w:rsidRPr="003C5B7F" w:rsidRDefault="00E70BA9" w:rsidP="00FC3C10">
            <w:pPr>
              <w:pStyle w:val="NoSpacing"/>
              <w:rPr>
                <w:rFonts w:ascii="Arial" w:hAnsi="Arial" w:cs="Arial"/>
                <w:sz w:val="24"/>
                <w:szCs w:val="24"/>
              </w:rPr>
            </w:pPr>
            <w:bookmarkStart w:id="2" w:name="_Hlk72137848"/>
            <w:r>
              <w:rPr>
                <w:rFonts w:ascii="Arial" w:hAnsi="Arial" w:cs="Arial"/>
                <w:sz w:val="24"/>
                <w:szCs w:val="24"/>
              </w:rPr>
              <w:t xml:space="preserve">Amanda Bloor                            </w:t>
            </w:r>
          </w:p>
          <w:p w14:paraId="68B6D38D" w14:textId="6C274F13" w:rsidR="00FC3C10" w:rsidRPr="003C5B7F" w:rsidRDefault="00FC3C10" w:rsidP="00FC3C10">
            <w:pPr>
              <w:pStyle w:val="NoSpacing"/>
              <w:rPr>
                <w:rFonts w:ascii="Arial" w:hAnsi="Arial" w:cs="Arial"/>
                <w:sz w:val="24"/>
                <w:szCs w:val="24"/>
              </w:rPr>
            </w:pPr>
            <w:r w:rsidRPr="003C5B7F">
              <w:rPr>
                <w:rFonts w:ascii="Arial" w:hAnsi="Arial" w:cs="Arial"/>
                <w:sz w:val="24"/>
                <w:szCs w:val="24"/>
              </w:rPr>
              <w:t>SRO Primary Care</w:t>
            </w:r>
            <w:r w:rsidR="00CA4158">
              <w:rPr>
                <w:rFonts w:ascii="Arial" w:hAnsi="Arial" w:cs="Arial"/>
                <w:sz w:val="24"/>
                <w:szCs w:val="24"/>
              </w:rPr>
              <w:t xml:space="preserve">                     </w:t>
            </w:r>
            <w:r w:rsidR="002261E7">
              <w:rPr>
                <w:rFonts w:ascii="Arial" w:hAnsi="Arial" w:cs="Arial"/>
                <w:sz w:val="24"/>
                <w:szCs w:val="24"/>
              </w:rPr>
              <w:t xml:space="preserve">            </w:t>
            </w:r>
            <w:r w:rsidR="00673BB5">
              <w:rPr>
                <w:rFonts w:ascii="Arial" w:hAnsi="Arial" w:cs="Arial"/>
                <w:sz w:val="24"/>
                <w:szCs w:val="24"/>
              </w:rPr>
              <w:t xml:space="preserve">    </w:t>
            </w:r>
          </w:p>
          <w:p w14:paraId="1CD6EBFB" w14:textId="6D84994B" w:rsidR="00FC3C10" w:rsidRPr="001D4972" w:rsidRDefault="00FC3C10" w:rsidP="001D4972">
            <w:pPr>
              <w:rPr>
                <w:rFonts w:ascii="Arial" w:hAnsi="Arial" w:cs="Arial"/>
                <w:sz w:val="24"/>
                <w:szCs w:val="24"/>
              </w:rPr>
            </w:pPr>
            <w:r w:rsidRPr="004131D1">
              <w:rPr>
                <w:rFonts w:ascii="Arial" w:hAnsi="Arial" w:cs="Arial"/>
                <w:sz w:val="24"/>
                <w:szCs w:val="24"/>
              </w:rPr>
              <w:t>Humber Coast &amp; Vale ICS</w:t>
            </w:r>
            <w:r w:rsidR="00CA4158">
              <w:rPr>
                <w:rFonts w:ascii="Arial" w:hAnsi="Arial" w:cs="Arial"/>
                <w:sz w:val="24"/>
                <w:szCs w:val="24"/>
              </w:rPr>
              <w:t xml:space="preserve">         </w:t>
            </w:r>
          </w:p>
          <w:bookmarkEnd w:id="2"/>
          <w:p w14:paraId="5B3DD6BD" w14:textId="28C3E16F" w:rsidR="00F0336D" w:rsidRDefault="00F0336D" w:rsidP="00545129">
            <w:pPr>
              <w:rPr>
                <w:rFonts w:ascii="Arial" w:eastAsiaTheme="minorEastAsia" w:hAnsi="Arial" w:cs="Arial"/>
                <w:bCs/>
                <w:noProof/>
                <w:sz w:val="24"/>
                <w:szCs w:val="24"/>
                <w:lang w:eastAsia="en-GB"/>
              </w:rPr>
            </w:pPr>
          </w:p>
          <w:p w14:paraId="27506FFF" w14:textId="1EFD5B43" w:rsidR="00F0336D" w:rsidRPr="00F05A7A" w:rsidRDefault="00F0336D" w:rsidP="00545129">
            <w:pPr>
              <w:rPr>
                <w:rFonts w:eastAsiaTheme="minorEastAsia"/>
                <w:bCs/>
                <w:noProof/>
                <w:color w:val="004A9B"/>
                <w:highlight w:val="yellow"/>
                <w:lang w:eastAsia="en-GB"/>
              </w:rPr>
            </w:pPr>
          </w:p>
        </w:tc>
      </w:tr>
      <w:tr w:rsidR="00FC3C10" w:rsidRPr="00F05A7A" w14:paraId="73817B0A" w14:textId="77777777" w:rsidTr="00545129">
        <w:tc>
          <w:tcPr>
            <w:tcW w:w="9514" w:type="dxa"/>
            <w:gridSpan w:val="2"/>
          </w:tcPr>
          <w:p w14:paraId="4F686898" w14:textId="56998F4B" w:rsidR="00FC3C10" w:rsidRPr="004131D1" w:rsidRDefault="00FC3C10" w:rsidP="00F0336D">
            <w:pPr>
              <w:rPr>
                <w:rFonts w:ascii="Arial" w:hAnsi="Arial" w:cs="Arial"/>
                <w:sz w:val="24"/>
                <w:szCs w:val="24"/>
              </w:rPr>
            </w:pPr>
          </w:p>
        </w:tc>
      </w:tr>
    </w:tbl>
    <w:p w14:paraId="6A54F5AD" w14:textId="6440E518" w:rsidR="00A66C7F" w:rsidRDefault="00E70BA9" w:rsidP="00E70BA9">
      <w:pPr>
        <w:tabs>
          <w:tab w:val="left" w:pos="5655"/>
        </w:tabs>
        <w:spacing w:after="0"/>
      </w:pPr>
      <w:r>
        <w:tab/>
      </w:r>
    </w:p>
    <w:sectPr w:rsidR="00A66C7F" w:rsidSect="006A2E47">
      <w:footerReference w:type="default" r:id="rId13"/>
      <w:pgSz w:w="11906" w:h="16838"/>
      <w:pgMar w:top="1134" w:right="1304" w:bottom="1440" w:left="130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D29EE" w16cex:dateUtc="2021-05-17T16:44:00Z"/>
  <w16cex:commentExtensible w16cex:durableId="244D2A07" w16cex:dateUtc="2021-05-17T16:44:00Z"/>
  <w16cex:commentExtensible w16cex:durableId="244D2A56" w16cex:dateUtc="2021-05-17T16: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8F1B5" w14:textId="77777777" w:rsidR="00A447E9" w:rsidRDefault="00A447E9" w:rsidP="00C701BB">
      <w:pPr>
        <w:spacing w:after="0" w:line="240" w:lineRule="auto"/>
      </w:pPr>
      <w:r>
        <w:separator/>
      </w:r>
    </w:p>
  </w:endnote>
  <w:endnote w:type="continuationSeparator" w:id="0">
    <w:p w14:paraId="3EED1117" w14:textId="77777777" w:rsidR="00A447E9" w:rsidRDefault="00A447E9" w:rsidP="00C70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B4483" w14:textId="05A8BD7E" w:rsidR="006A2E47" w:rsidRDefault="006A2E47">
    <w:pPr>
      <w:pStyle w:val="Footer"/>
    </w:pPr>
  </w:p>
  <w:p w14:paraId="3E43E962" w14:textId="77777777" w:rsidR="00C701BB" w:rsidRDefault="00C70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FBBCA" w14:textId="77777777" w:rsidR="00A447E9" w:rsidRDefault="00A447E9" w:rsidP="00C701BB">
      <w:pPr>
        <w:spacing w:after="0" w:line="240" w:lineRule="auto"/>
      </w:pPr>
      <w:r>
        <w:separator/>
      </w:r>
    </w:p>
  </w:footnote>
  <w:footnote w:type="continuationSeparator" w:id="0">
    <w:p w14:paraId="0A168B67" w14:textId="77777777" w:rsidR="00A447E9" w:rsidRDefault="00A447E9" w:rsidP="00C701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B65D8"/>
    <w:multiLevelType w:val="hybridMultilevel"/>
    <w:tmpl w:val="9EC8D366"/>
    <w:lvl w:ilvl="0" w:tplc="AF0032E4">
      <w:start w:val="1"/>
      <w:numFmt w:val="decimal"/>
      <w:lvlText w:val="%1."/>
      <w:lvlJc w:val="left"/>
      <w:pPr>
        <w:ind w:left="940" w:hanging="360"/>
        <w:jc w:val="left"/>
      </w:pPr>
      <w:rPr>
        <w:rFonts w:ascii="Arial" w:eastAsia="Arial" w:hAnsi="Arial" w:cs="Arial" w:hint="default"/>
        <w:spacing w:val="-1"/>
        <w:w w:val="100"/>
        <w:sz w:val="22"/>
        <w:szCs w:val="22"/>
        <w:lang w:val="en-US" w:eastAsia="en-US" w:bidi="ar-SA"/>
      </w:rPr>
    </w:lvl>
    <w:lvl w:ilvl="1" w:tplc="C08EA3A2">
      <w:numFmt w:val="bullet"/>
      <w:lvlText w:val="•"/>
      <w:lvlJc w:val="left"/>
      <w:pPr>
        <w:ind w:left="1792" w:hanging="360"/>
      </w:pPr>
      <w:rPr>
        <w:rFonts w:hint="default"/>
        <w:lang w:val="en-US" w:eastAsia="en-US" w:bidi="ar-SA"/>
      </w:rPr>
    </w:lvl>
    <w:lvl w:ilvl="2" w:tplc="F43640B0">
      <w:numFmt w:val="bullet"/>
      <w:lvlText w:val="•"/>
      <w:lvlJc w:val="left"/>
      <w:pPr>
        <w:ind w:left="2645" w:hanging="360"/>
      </w:pPr>
      <w:rPr>
        <w:rFonts w:hint="default"/>
        <w:lang w:val="en-US" w:eastAsia="en-US" w:bidi="ar-SA"/>
      </w:rPr>
    </w:lvl>
    <w:lvl w:ilvl="3" w:tplc="24AAF294">
      <w:numFmt w:val="bullet"/>
      <w:lvlText w:val="•"/>
      <w:lvlJc w:val="left"/>
      <w:pPr>
        <w:ind w:left="3497" w:hanging="360"/>
      </w:pPr>
      <w:rPr>
        <w:rFonts w:hint="default"/>
        <w:lang w:val="en-US" w:eastAsia="en-US" w:bidi="ar-SA"/>
      </w:rPr>
    </w:lvl>
    <w:lvl w:ilvl="4" w:tplc="A5B45EA0">
      <w:numFmt w:val="bullet"/>
      <w:lvlText w:val="•"/>
      <w:lvlJc w:val="left"/>
      <w:pPr>
        <w:ind w:left="4350" w:hanging="360"/>
      </w:pPr>
      <w:rPr>
        <w:rFonts w:hint="default"/>
        <w:lang w:val="en-US" w:eastAsia="en-US" w:bidi="ar-SA"/>
      </w:rPr>
    </w:lvl>
    <w:lvl w:ilvl="5" w:tplc="844259C2">
      <w:numFmt w:val="bullet"/>
      <w:lvlText w:val="•"/>
      <w:lvlJc w:val="left"/>
      <w:pPr>
        <w:ind w:left="5203" w:hanging="360"/>
      </w:pPr>
      <w:rPr>
        <w:rFonts w:hint="default"/>
        <w:lang w:val="en-US" w:eastAsia="en-US" w:bidi="ar-SA"/>
      </w:rPr>
    </w:lvl>
    <w:lvl w:ilvl="6" w:tplc="FB3CEC28">
      <w:numFmt w:val="bullet"/>
      <w:lvlText w:val="•"/>
      <w:lvlJc w:val="left"/>
      <w:pPr>
        <w:ind w:left="6055" w:hanging="360"/>
      </w:pPr>
      <w:rPr>
        <w:rFonts w:hint="default"/>
        <w:lang w:val="en-US" w:eastAsia="en-US" w:bidi="ar-SA"/>
      </w:rPr>
    </w:lvl>
    <w:lvl w:ilvl="7" w:tplc="83CA6258">
      <w:numFmt w:val="bullet"/>
      <w:lvlText w:val="•"/>
      <w:lvlJc w:val="left"/>
      <w:pPr>
        <w:ind w:left="6908" w:hanging="360"/>
      </w:pPr>
      <w:rPr>
        <w:rFonts w:hint="default"/>
        <w:lang w:val="en-US" w:eastAsia="en-US" w:bidi="ar-SA"/>
      </w:rPr>
    </w:lvl>
    <w:lvl w:ilvl="8" w:tplc="5D92373E">
      <w:numFmt w:val="bullet"/>
      <w:lvlText w:val="•"/>
      <w:lvlJc w:val="left"/>
      <w:pPr>
        <w:ind w:left="7761" w:hanging="360"/>
      </w:pPr>
      <w:rPr>
        <w:rFonts w:hint="default"/>
        <w:lang w:val="en-US" w:eastAsia="en-US" w:bidi="ar-SA"/>
      </w:rPr>
    </w:lvl>
  </w:abstractNum>
  <w:abstractNum w:abstractNumId="1" w15:restartNumberingAfterBreak="0">
    <w:nsid w:val="66B9138D"/>
    <w:multiLevelType w:val="multilevel"/>
    <w:tmpl w:val="840081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6E24182"/>
    <w:multiLevelType w:val="hybridMultilevel"/>
    <w:tmpl w:val="A6DE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74024B"/>
    <w:multiLevelType w:val="hybridMultilevel"/>
    <w:tmpl w:val="32EAC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DC1"/>
    <w:rsid w:val="00016840"/>
    <w:rsid w:val="0007418E"/>
    <w:rsid w:val="0012518F"/>
    <w:rsid w:val="001341A1"/>
    <w:rsid w:val="00136EBD"/>
    <w:rsid w:val="001518DD"/>
    <w:rsid w:val="001778E5"/>
    <w:rsid w:val="0019417F"/>
    <w:rsid w:val="001D4972"/>
    <w:rsid w:val="002261E7"/>
    <w:rsid w:val="0030372A"/>
    <w:rsid w:val="00334747"/>
    <w:rsid w:val="003960A1"/>
    <w:rsid w:val="003A174C"/>
    <w:rsid w:val="003C5B7F"/>
    <w:rsid w:val="003E05F1"/>
    <w:rsid w:val="004131D1"/>
    <w:rsid w:val="00462202"/>
    <w:rsid w:val="004746B3"/>
    <w:rsid w:val="004B30F4"/>
    <w:rsid w:val="00545129"/>
    <w:rsid w:val="005B62C1"/>
    <w:rsid w:val="006023DD"/>
    <w:rsid w:val="00621DC1"/>
    <w:rsid w:val="00673BB5"/>
    <w:rsid w:val="006A2E47"/>
    <w:rsid w:val="006F0997"/>
    <w:rsid w:val="00706619"/>
    <w:rsid w:val="00714E96"/>
    <w:rsid w:val="007A11D1"/>
    <w:rsid w:val="00835328"/>
    <w:rsid w:val="00867597"/>
    <w:rsid w:val="009913C2"/>
    <w:rsid w:val="0099516A"/>
    <w:rsid w:val="00A447E9"/>
    <w:rsid w:val="00A66C7F"/>
    <w:rsid w:val="00AE18AA"/>
    <w:rsid w:val="00B314C2"/>
    <w:rsid w:val="00C701BB"/>
    <w:rsid w:val="00C956D9"/>
    <w:rsid w:val="00CA4158"/>
    <w:rsid w:val="00D67D58"/>
    <w:rsid w:val="00E70BA9"/>
    <w:rsid w:val="00EB00B8"/>
    <w:rsid w:val="00EC0E9B"/>
    <w:rsid w:val="00EC1FB2"/>
    <w:rsid w:val="00EE7581"/>
    <w:rsid w:val="00F0336D"/>
    <w:rsid w:val="00F05A7A"/>
    <w:rsid w:val="00F67590"/>
    <w:rsid w:val="00FA392F"/>
    <w:rsid w:val="00FB723C"/>
    <w:rsid w:val="00FC2223"/>
    <w:rsid w:val="00FC3C1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DED815"/>
  <w15:docId w15:val="{AEC51CBB-257E-4394-93DE-B5ECD88A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6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C7F"/>
    <w:rPr>
      <w:rFonts w:ascii="Tahoma" w:hAnsi="Tahoma" w:cs="Tahoma"/>
      <w:sz w:val="16"/>
      <w:szCs w:val="16"/>
    </w:rPr>
  </w:style>
  <w:style w:type="character" w:styleId="Hyperlink">
    <w:name w:val="Hyperlink"/>
    <w:basedOn w:val="DefaultParagraphFont"/>
    <w:uiPriority w:val="99"/>
    <w:unhideWhenUsed/>
    <w:rsid w:val="00A66C7F"/>
    <w:rPr>
      <w:color w:val="0000FF"/>
      <w:u w:val="single"/>
    </w:rPr>
  </w:style>
  <w:style w:type="table" w:styleId="TableGrid">
    <w:name w:val="Table Grid"/>
    <w:basedOn w:val="TableNormal"/>
    <w:uiPriority w:val="59"/>
    <w:rsid w:val="00545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36EBD"/>
    <w:pPr>
      <w:spacing w:after="160" w:line="259" w:lineRule="auto"/>
      <w:ind w:left="720"/>
      <w:contextualSpacing/>
    </w:pPr>
  </w:style>
  <w:style w:type="paragraph" w:styleId="Header">
    <w:name w:val="header"/>
    <w:basedOn w:val="Normal"/>
    <w:link w:val="HeaderChar"/>
    <w:uiPriority w:val="99"/>
    <w:unhideWhenUsed/>
    <w:rsid w:val="00C701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1BB"/>
  </w:style>
  <w:style w:type="paragraph" w:styleId="Footer">
    <w:name w:val="footer"/>
    <w:basedOn w:val="Normal"/>
    <w:link w:val="FooterChar"/>
    <w:uiPriority w:val="99"/>
    <w:unhideWhenUsed/>
    <w:rsid w:val="00C701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1BB"/>
  </w:style>
  <w:style w:type="paragraph" w:styleId="NoSpacing">
    <w:name w:val="No Spacing"/>
    <w:uiPriority w:val="1"/>
    <w:qFormat/>
    <w:rsid w:val="003C5B7F"/>
    <w:pPr>
      <w:spacing w:after="0" w:line="240" w:lineRule="auto"/>
    </w:pPr>
  </w:style>
  <w:style w:type="paragraph" w:customStyle="1" w:styleId="Default">
    <w:name w:val="Default"/>
    <w:rsid w:val="0033474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B00B8"/>
    <w:rPr>
      <w:sz w:val="16"/>
      <w:szCs w:val="16"/>
    </w:rPr>
  </w:style>
  <w:style w:type="paragraph" w:styleId="CommentText">
    <w:name w:val="annotation text"/>
    <w:basedOn w:val="Normal"/>
    <w:link w:val="CommentTextChar"/>
    <w:uiPriority w:val="99"/>
    <w:semiHidden/>
    <w:unhideWhenUsed/>
    <w:rsid w:val="00EB00B8"/>
    <w:pPr>
      <w:spacing w:line="240" w:lineRule="auto"/>
    </w:pPr>
    <w:rPr>
      <w:sz w:val="20"/>
      <w:szCs w:val="20"/>
    </w:rPr>
  </w:style>
  <w:style w:type="character" w:customStyle="1" w:styleId="CommentTextChar">
    <w:name w:val="Comment Text Char"/>
    <w:basedOn w:val="DefaultParagraphFont"/>
    <w:link w:val="CommentText"/>
    <w:uiPriority w:val="99"/>
    <w:semiHidden/>
    <w:rsid w:val="00EB00B8"/>
    <w:rPr>
      <w:sz w:val="20"/>
      <w:szCs w:val="20"/>
    </w:rPr>
  </w:style>
  <w:style w:type="paragraph" w:styleId="CommentSubject">
    <w:name w:val="annotation subject"/>
    <w:basedOn w:val="CommentText"/>
    <w:next w:val="CommentText"/>
    <w:link w:val="CommentSubjectChar"/>
    <w:uiPriority w:val="99"/>
    <w:semiHidden/>
    <w:unhideWhenUsed/>
    <w:rsid w:val="00EB00B8"/>
    <w:rPr>
      <w:b/>
      <w:bCs/>
    </w:rPr>
  </w:style>
  <w:style w:type="character" w:customStyle="1" w:styleId="CommentSubjectChar">
    <w:name w:val="Comment Subject Char"/>
    <w:basedOn w:val="CommentTextChar"/>
    <w:link w:val="CommentSubject"/>
    <w:uiPriority w:val="99"/>
    <w:semiHidden/>
    <w:rsid w:val="00EB00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73783">
      <w:bodyDiv w:val="1"/>
      <w:marLeft w:val="0"/>
      <w:marRight w:val="0"/>
      <w:marTop w:val="0"/>
      <w:marBottom w:val="0"/>
      <w:divBdr>
        <w:top w:val="none" w:sz="0" w:space="0" w:color="auto"/>
        <w:left w:val="none" w:sz="0" w:space="0" w:color="auto"/>
        <w:bottom w:val="none" w:sz="0" w:space="0" w:color="auto"/>
        <w:right w:val="none" w:sz="0" w:space="0" w:color="auto"/>
      </w:divBdr>
    </w:div>
    <w:div w:id="222449912">
      <w:bodyDiv w:val="1"/>
      <w:marLeft w:val="0"/>
      <w:marRight w:val="0"/>
      <w:marTop w:val="0"/>
      <w:marBottom w:val="0"/>
      <w:divBdr>
        <w:top w:val="none" w:sz="0" w:space="0" w:color="auto"/>
        <w:left w:val="none" w:sz="0" w:space="0" w:color="auto"/>
        <w:bottom w:val="none" w:sz="0" w:space="0" w:color="auto"/>
        <w:right w:val="none" w:sz="0" w:space="0" w:color="auto"/>
      </w:divBdr>
    </w:div>
    <w:div w:id="93756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hullccg.hcvstppmo@nhs.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8EBE9-4611-4184-8CDF-69954589E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542</Words>
  <Characters>3094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eMBED</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Hamilton</dc:creator>
  <cp:lastModifiedBy>Phillips, Helen</cp:lastModifiedBy>
  <cp:revision>2</cp:revision>
  <dcterms:created xsi:type="dcterms:W3CDTF">2021-05-17T19:53:00Z</dcterms:created>
  <dcterms:modified xsi:type="dcterms:W3CDTF">2021-05-17T19:53:00Z</dcterms:modified>
</cp:coreProperties>
</file>