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8ED1" w14:textId="15E4ADD6" w:rsidR="007A35A7" w:rsidRDefault="007A35A7" w:rsidP="007A35A7">
      <w:pPr>
        <w:rPr>
          <w:rFonts w:ascii="Arial" w:hAnsi="Arial" w:cs="Arial"/>
        </w:rPr>
      </w:pPr>
    </w:p>
    <w:p w14:paraId="00EDB048" w14:textId="5A463918" w:rsidR="007A35A7" w:rsidRDefault="007A35A7" w:rsidP="00F47E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Report to:</w:t>
      </w:r>
      <w:r w:rsidR="00465B88"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-78752904"/>
          <w:placeholder>
            <w:docPart w:val="C8E3F1C1AFDB400C90EA33449E09AFA6"/>
          </w:placeholder>
          <w:text/>
        </w:sdtPr>
        <w:sdtEndPr/>
        <w:sdtContent>
          <w:r w:rsidR="00D060B6">
            <w:rPr>
              <w:rFonts w:ascii="Arial" w:hAnsi="Arial" w:cs="Arial"/>
              <w:b/>
              <w:bCs/>
            </w:rPr>
            <w:t>Primary Care Co-Commissioning Committee</w:t>
          </w:r>
        </w:sdtContent>
      </w:sdt>
    </w:p>
    <w:p w14:paraId="16DEF567" w14:textId="436666D4" w:rsidR="00465B88" w:rsidRDefault="007A35A7" w:rsidP="00F47E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 of meeting:</w:t>
      </w:r>
      <w:r w:rsidR="00465B88"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-943372577"/>
          <w:placeholder>
            <w:docPart w:val="81713A34ABA3402595EFB98FF1974702"/>
          </w:placeholder>
          <w:date w:fullDate="2021-08-10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4551EA">
            <w:rPr>
              <w:rFonts w:ascii="Arial" w:hAnsi="Arial" w:cs="Arial"/>
              <w:b/>
              <w:bCs/>
              <w:lang w:val="en-GB"/>
            </w:rPr>
            <w:t>10/08/2021</w:t>
          </w:r>
        </w:sdtContent>
      </w:sdt>
    </w:p>
    <w:p w14:paraId="5693DC73" w14:textId="38E43B39" w:rsidR="007A35A7" w:rsidRDefault="007A35A7" w:rsidP="00F47E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 paper distributed:</w:t>
      </w:r>
      <w:r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1740286743"/>
          <w:placeholder>
            <w:docPart w:val="7727D40B76644512A075B1DBB362B328"/>
          </w:placeholder>
          <w:date w:fullDate="2021-08-02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4551EA">
            <w:rPr>
              <w:rFonts w:ascii="Arial" w:hAnsi="Arial" w:cs="Arial"/>
              <w:b/>
              <w:bCs/>
              <w:lang w:val="en-GB"/>
            </w:rPr>
            <w:t>02/08/2021</w:t>
          </w:r>
        </w:sdtContent>
      </w:sdt>
    </w:p>
    <w:p w14:paraId="559C3671" w14:textId="1AD082BF" w:rsidR="007A35A7" w:rsidRDefault="007A35A7" w:rsidP="00F47E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Subject:</w:t>
      </w:r>
      <w:r w:rsidR="00465B88"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1217166332"/>
          <w:placeholder>
            <w:docPart w:val="B2BEDB5797074CA08F74570156FE8720"/>
          </w:placeholder>
          <w:text/>
        </w:sdtPr>
        <w:sdtEndPr/>
        <w:sdtContent>
          <w:r w:rsidR="00D060B6">
            <w:rPr>
              <w:rFonts w:ascii="Arial" w:hAnsi="Arial" w:cs="Arial"/>
              <w:b/>
              <w:bCs/>
            </w:rPr>
            <w:t>Primary Care Commissioning Finance Report</w:t>
          </w:r>
        </w:sdtContent>
      </w:sdt>
    </w:p>
    <w:p w14:paraId="69070772" w14:textId="1415C601" w:rsidR="007A35A7" w:rsidRDefault="007A35A7" w:rsidP="00F47E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Presented by:</w:t>
      </w:r>
      <w:r w:rsidR="00465B88"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933938557"/>
          <w:placeholder>
            <w:docPart w:val="17DCC51E42DE48BEA42B869E4A8B032A"/>
          </w:placeholder>
          <w:text/>
        </w:sdtPr>
        <w:sdtEndPr/>
        <w:sdtContent>
          <w:r w:rsidR="00D060B6">
            <w:rPr>
              <w:rFonts w:ascii="Arial" w:hAnsi="Arial" w:cs="Arial"/>
              <w:b/>
              <w:bCs/>
            </w:rPr>
            <w:t>Jo Horsfall</w:t>
          </w:r>
        </w:sdtContent>
      </w:sdt>
    </w:p>
    <w:p w14:paraId="50602481" w14:textId="26452AC8" w:rsidR="007A35A7" w:rsidRDefault="007A35A7" w:rsidP="00F47E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Previously distributed to:</w:t>
      </w:r>
      <w:r w:rsidR="00465B88"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1504311521"/>
          <w:placeholder>
            <w:docPart w:val="8067A05DCAA14B36AA4AA6B43430B3A4"/>
          </w:placeholder>
          <w:text/>
        </w:sdtPr>
        <w:sdtEndPr/>
        <w:sdtContent>
          <w:r w:rsidR="00D060B6">
            <w:rPr>
              <w:rFonts w:ascii="Arial" w:hAnsi="Arial" w:cs="Arial"/>
              <w:b/>
              <w:bCs/>
            </w:rPr>
            <w:t>N/A</w:t>
          </w:r>
        </w:sdtContent>
      </w:sdt>
    </w:p>
    <w:p w14:paraId="6C4B6479" w14:textId="235A708B" w:rsidR="007A35A7" w:rsidRDefault="007A35A7" w:rsidP="007A35A7">
      <w:pPr>
        <w:rPr>
          <w:rFonts w:ascii="Arial" w:hAnsi="Arial" w:cs="Arial"/>
          <w:b/>
          <w:bCs/>
        </w:rPr>
      </w:pPr>
    </w:p>
    <w:p w14:paraId="5F9C3E44" w14:textId="58B4EF50" w:rsidR="007A35A7" w:rsidRDefault="007A35A7" w:rsidP="007A35A7">
      <w:pPr>
        <w:rPr>
          <w:rFonts w:ascii="Arial" w:hAnsi="Arial" w:cs="Arial"/>
          <w:b/>
          <w:bCs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594F1FAE" wp14:editId="1D6411C5">
                <wp:extent cx="7042150" cy="1314450"/>
                <wp:effectExtent l="0" t="0" r="25400" b="19050"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D436F" w14:textId="56F3AAF8" w:rsidR="007A35A7" w:rsidRPr="00752E3F" w:rsidRDefault="007A35A7" w:rsidP="007A35A7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752E3F">
                              <w:rPr>
                                <w:rFonts w:cstheme="minorHAnsi"/>
                                <w:b/>
                              </w:rPr>
                              <w:t xml:space="preserve">STATUS OF THE REPORT </w:t>
                            </w:r>
                          </w:p>
                          <w:p w14:paraId="45D0CED1" w14:textId="77777777" w:rsidR="007A35A7" w:rsidRPr="00752E3F" w:rsidRDefault="007A35A7" w:rsidP="007A35A7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769B0B6D" w14:textId="24D467FF" w:rsidR="007A35A7" w:rsidRDefault="007A35A7" w:rsidP="00485586">
                            <w:p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>Decision required</w:t>
                            </w:r>
                            <w:r w:rsidRPr="00752E3F">
                              <w:rPr>
                                <w:rFonts w:cstheme="minorHAnsi"/>
                              </w:rPr>
                              <w:tab/>
                            </w:r>
                            <w:r w:rsidRPr="00752E3F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Pr="00752E3F">
                              <w:rPr>
                                <w:rFonts w:cstheme="minorHAnsi"/>
                              </w:rPr>
                              <w:t xml:space="preserve">  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3450908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5125D31" w14:textId="145D362A" w:rsidR="007A35A7" w:rsidRPr="00752E3F" w:rsidRDefault="007A35A7" w:rsidP="00485586">
                            <w:p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For Discussion to give Assurance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4630406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2D7A0B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1C8DFFBD" w14:textId="6B00A181" w:rsidR="007A35A7" w:rsidRPr="00752E3F" w:rsidRDefault="007A35A7" w:rsidP="00485586">
                            <w:p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>For Information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1729749469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31B72"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☒</w:t>
                                </w:r>
                              </w:sdtContent>
                            </w:sdt>
                          </w:p>
                          <w:p w14:paraId="0E98AE76" w14:textId="4466FD9F" w:rsidR="007A35A7" w:rsidRPr="00752E3F" w:rsidRDefault="007A35A7" w:rsidP="00485586">
                            <w:p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>Report Exempt from Public Disclosure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1087532208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B7DA8"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☒</w:t>
                                </w:r>
                              </w:sdtContent>
                            </w:sdt>
                            <w:r w:rsidRPr="00752E3F">
                              <w:rPr>
                                <w:rFonts w:cstheme="minorHAnsi"/>
                              </w:rPr>
                              <w:t xml:space="preserve"> No</w:t>
                            </w:r>
                            <w:r w:rsidRPr="00752E3F">
                              <w:rPr>
                                <w:rFonts w:cs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3358934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752E3F">
                              <w:rPr>
                                <w:rFonts w:cstheme="minorHAnsi"/>
                              </w:rPr>
                              <w:t xml:space="preserve"> 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4F1FAE" id="Rectangle 12" o:spid="_x0000_s1026" style="width:554.5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" strokecolor="black [3213]" strokeweight=".5pt">
                <v:textbox>
                  <w:txbxContent>
                    <w:p w14:paraId="26BD436F" w14:textId="56F3AAF8" w:rsidR="007A35A7" w:rsidRPr="00752E3F" w:rsidRDefault="007A35A7" w:rsidP="007A35A7">
                      <w:pPr>
                        <w:rPr>
                          <w:rFonts w:cstheme="minorHAnsi"/>
                          <w:b/>
                        </w:rPr>
                      </w:pPr>
                      <w:r w:rsidRPr="00752E3F">
                        <w:rPr>
                          <w:rFonts w:cstheme="minorHAnsi"/>
                          <w:b/>
                        </w:rPr>
                        <w:t xml:space="preserve">STATUS OF THE REPORT </w:t>
                      </w:r>
                    </w:p>
                    <w:p w14:paraId="45D0CED1" w14:textId="77777777" w:rsidR="007A35A7" w:rsidRPr="00752E3F" w:rsidRDefault="007A35A7" w:rsidP="007A35A7">
                      <w:pPr>
                        <w:rPr>
                          <w:rFonts w:cstheme="minorHAnsi"/>
                        </w:rPr>
                      </w:pPr>
                    </w:p>
                    <w:p w14:paraId="769B0B6D" w14:textId="24D467FF" w:rsidR="007A35A7" w:rsidRDefault="007A35A7" w:rsidP="00485586">
                      <w:pPr>
                        <w:spacing w:line="276" w:lineRule="auto"/>
                        <w:rPr>
                          <w:rFonts w:cstheme="minorHAnsi"/>
                        </w:rPr>
                      </w:pPr>
                      <w:r w:rsidRPr="00752E3F">
                        <w:rPr>
                          <w:rFonts w:cstheme="minorHAnsi"/>
                          <w:b/>
                          <w:bCs/>
                        </w:rPr>
                        <w:t>Decision required</w:t>
                      </w:r>
                      <w:r w:rsidRPr="00752E3F">
                        <w:rPr>
                          <w:rFonts w:cstheme="minorHAnsi"/>
                        </w:rPr>
                        <w:tab/>
                      </w:r>
                      <w:r w:rsidRPr="00752E3F"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Pr="00752E3F">
                        <w:rPr>
                          <w:rFonts w:cstheme="minorHAnsi"/>
                        </w:rPr>
                        <w:t xml:space="preserve">   </w:t>
                      </w:r>
                      <w:r>
                        <w:rPr>
                          <w:rFonts w:cstheme="minorHAnsi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-3450908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</w:p>
                    <w:p w14:paraId="35125D31" w14:textId="145D362A" w:rsidR="007A35A7" w:rsidRPr="00752E3F" w:rsidRDefault="007A35A7" w:rsidP="00485586">
                      <w:pPr>
                        <w:spacing w:line="276" w:lineRule="auto"/>
                        <w:rPr>
                          <w:rFonts w:cstheme="minorHAnsi"/>
                        </w:rPr>
                      </w:pPr>
                      <w:r w:rsidRPr="00752E3F">
                        <w:rPr>
                          <w:rFonts w:cstheme="minorHAnsi"/>
                          <w:b/>
                          <w:bCs/>
                        </w:rPr>
                        <w:t xml:space="preserve">For Discussion to give Assurance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 w:rsidRPr="00752E3F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-4630406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Pr="002D7A0B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1C8DFFBD" w14:textId="6B00A181" w:rsidR="007A35A7" w:rsidRPr="00752E3F" w:rsidRDefault="007A35A7" w:rsidP="00485586">
                      <w:pPr>
                        <w:spacing w:line="276" w:lineRule="auto"/>
                        <w:rPr>
                          <w:rFonts w:cstheme="minorHAnsi"/>
                        </w:rPr>
                      </w:pPr>
                      <w:r w:rsidRPr="00752E3F">
                        <w:rPr>
                          <w:rFonts w:cstheme="minorHAnsi"/>
                          <w:b/>
                          <w:bCs/>
                        </w:rPr>
                        <w:t>For Information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 w:rsidRPr="00752E3F">
                        <w:rPr>
                          <w:rFonts w:cstheme="minorHAnsi"/>
                          <w:b/>
                          <w:bCs/>
                        </w:rPr>
                        <w:t xml:space="preserve">                              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-1729749469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31B72">
                            <w:rPr>
                              <w:rFonts w:ascii="MS Gothic" w:eastAsia="MS Gothic" w:hAnsi="MS Gothic" w:cstheme="minorHAnsi" w:hint="eastAsia"/>
                            </w:rPr>
                            <w:t>☒</w:t>
                          </w:r>
                        </w:sdtContent>
                      </w:sdt>
                    </w:p>
                    <w:p w14:paraId="0E98AE76" w14:textId="4466FD9F" w:rsidR="007A35A7" w:rsidRPr="00752E3F" w:rsidRDefault="007A35A7" w:rsidP="00485586">
                      <w:pPr>
                        <w:spacing w:line="276" w:lineRule="auto"/>
                        <w:rPr>
                          <w:rFonts w:cstheme="minorHAnsi"/>
                        </w:rPr>
                      </w:pPr>
                      <w:r w:rsidRPr="00752E3F">
                        <w:rPr>
                          <w:rFonts w:cstheme="minorHAnsi"/>
                          <w:b/>
                          <w:bCs/>
                        </w:rPr>
                        <w:t>Report Exempt from Public Disclosure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-1087532208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B7DA8">
                            <w:rPr>
                              <w:rFonts w:ascii="MS Gothic" w:eastAsia="MS Gothic" w:hAnsi="MS Gothic" w:cstheme="minorHAnsi" w:hint="eastAsia"/>
                            </w:rPr>
                            <w:t>☒</w:t>
                          </w:r>
                        </w:sdtContent>
                      </w:sdt>
                      <w:r w:rsidRPr="00752E3F">
                        <w:rPr>
                          <w:rFonts w:cstheme="minorHAnsi"/>
                        </w:rPr>
                        <w:t xml:space="preserve"> No</w:t>
                      </w:r>
                      <w:r w:rsidRPr="00752E3F">
                        <w:rPr>
                          <w:rFonts w:cstheme="minorHAnsi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3358934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Pr="00752E3F">
                        <w:rPr>
                          <w:rFonts w:cstheme="minorHAnsi"/>
                        </w:rPr>
                        <w:t xml:space="preserve"> Yes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04DB571" w14:textId="77777777" w:rsidR="000575C2" w:rsidRDefault="000575C2" w:rsidP="007A35A7">
      <w:pPr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page" w:horzAnchor="margin" w:tblpY="6226"/>
        <w:tblW w:w="0" w:type="auto"/>
        <w:tblLayout w:type="fixed"/>
        <w:tblLook w:val="04A0" w:firstRow="1" w:lastRow="0" w:firstColumn="1" w:lastColumn="0" w:noHBand="0" w:noVBand="1"/>
      </w:tblPr>
      <w:tblGrid>
        <w:gridCol w:w="2258"/>
        <w:gridCol w:w="8838"/>
      </w:tblGrid>
      <w:tr w:rsidR="003F1101" w:rsidRPr="003F1101" w14:paraId="78A95E75" w14:textId="77777777" w:rsidTr="00BD3CB7">
        <w:trPr>
          <w:trHeight w:val="699"/>
        </w:trPr>
        <w:tc>
          <w:tcPr>
            <w:tcW w:w="2258" w:type="dxa"/>
            <w:shd w:val="clear" w:color="auto" w:fill="767171" w:themeFill="background2" w:themeFillShade="80"/>
          </w:tcPr>
          <w:p w14:paraId="7A39886C" w14:textId="77777777" w:rsidR="003F1101" w:rsidRPr="003F1101" w:rsidRDefault="003F1101" w:rsidP="003F110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F1101">
              <w:rPr>
                <w:rFonts w:ascii="Arial" w:hAnsi="Arial" w:cs="Arial"/>
                <w:b/>
                <w:color w:val="FFFFFF" w:themeColor="background1"/>
              </w:rPr>
              <w:t>PURPOSE OF REPORT:</w:t>
            </w:r>
          </w:p>
          <w:p w14:paraId="0C3392CB" w14:textId="77777777" w:rsidR="003F1101" w:rsidRPr="003F1101" w:rsidRDefault="003F1101" w:rsidP="003F110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8838" w:type="dxa"/>
          </w:tcPr>
          <w:p w14:paraId="31933D74" w14:textId="6588E467" w:rsidR="004551EA" w:rsidRPr="004551EA" w:rsidRDefault="004551EA" w:rsidP="003F1101">
            <w:pPr>
              <w:pStyle w:val="Default"/>
              <w:jc w:val="both"/>
              <w:rPr>
                <w:sz w:val="20"/>
                <w:szCs w:val="20"/>
              </w:rPr>
            </w:pPr>
            <w:r w:rsidRPr="004551EA">
              <w:rPr>
                <w:sz w:val="20"/>
                <w:szCs w:val="20"/>
              </w:rPr>
              <w:t>To provide an update on the financial position of the budgets within the scope of Primary Care for both NEL CCG &amp; NELC for the period ending 3</w:t>
            </w:r>
            <w:r>
              <w:rPr>
                <w:sz w:val="20"/>
                <w:szCs w:val="20"/>
              </w:rPr>
              <w:t>0</w:t>
            </w:r>
            <w:r w:rsidRPr="004551E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 21</w:t>
            </w:r>
          </w:p>
        </w:tc>
      </w:tr>
      <w:tr w:rsidR="003F1101" w:rsidRPr="003F1101" w14:paraId="6854EABB" w14:textId="77777777" w:rsidTr="00BD3CB7">
        <w:trPr>
          <w:trHeight w:val="572"/>
        </w:trPr>
        <w:tc>
          <w:tcPr>
            <w:tcW w:w="2258" w:type="dxa"/>
            <w:shd w:val="clear" w:color="auto" w:fill="767171" w:themeFill="background2" w:themeFillShade="80"/>
          </w:tcPr>
          <w:p w14:paraId="1499AE1C" w14:textId="77777777" w:rsidR="003F1101" w:rsidRPr="003F1101" w:rsidRDefault="003F1101" w:rsidP="003F1101">
            <w:pPr>
              <w:pStyle w:val="Default"/>
              <w:jc w:val="center"/>
              <w:rPr>
                <w:b/>
                <w:color w:val="FFFFFF"/>
                <w:sz w:val="22"/>
                <w:szCs w:val="22"/>
              </w:rPr>
            </w:pPr>
            <w:r w:rsidRPr="003F1101">
              <w:rPr>
                <w:b/>
                <w:color w:val="FFFFFF"/>
                <w:sz w:val="22"/>
                <w:szCs w:val="22"/>
              </w:rPr>
              <w:t>Recommendations:</w:t>
            </w:r>
          </w:p>
        </w:tc>
        <w:tc>
          <w:tcPr>
            <w:tcW w:w="8838" w:type="dxa"/>
          </w:tcPr>
          <w:p w14:paraId="66B92889" w14:textId="3C9DCBA2" w:rsidR="005C589E" w:rsidRPr="008910D6" w:rsidRDefault="008910D6" w:rsidP="00BB7DA8">
            <w:pPr>
              <w:pStyle w:val="Default"/>
              <w:jc w:val="both"/>
              <w:rPr>
                <w:sz w:val="20"/>
                <w:szCs w:val="20"/>
              </w:rPr>
            </w:pPr>
            <w:r w:rsidRPr="008910D6">
              <w:rPr>
                <w:sz w:val="20"/>
                <w:szCs w:val="20"/>
              </w:rPr>
              <w:t xml:space="preserve">To note </w:t>
            </w:r>
            <w:r w:rsidR="004551EA">
              <w:rPr>
                <w:sz w:val="20"/>
                <w:szCs w:val="20"/>
              </w:rPr>
              <w:t>the year-to-date financial position for Primary Care budgets for the period ending 30</w:t>
            </w:r>
            <w:r w:rsidR="004551EA" w:rsidRPr="004551EA">
              <w:rPr>
                <w:sz w:val="20"/>
                <w:szCs w:val="20"/>
                <w:vertAlign w:val="superscript"/>
              </w:rPr>
              <w:t>th</w:t>
            </w:r>
            <w:r w:rsidR="004551EA">
              <w:rPr>
                <w:sz w:val="20"/>
                <w:szCs w:val="20"/>
              </w:rPr>
              <w:t xml:space="preserve"> June 21</w:t>
            </w:r>
          </w:p>
        </w:tc>
      </w:tr>
      <w:tr w:rsidR="003F1101" w:rsidRPr="003F1101" w14:paraId="7C916997" w14:textId="77777777" w:rsidTr="00BD3CB7">
        <w:trPr>
          <w:trHeight w:val="268"/>
        </w:trPr>
        <w:tc>
          <w:tcPr>
            <w:tcW w:w="2258" w:type="dxa"/>
            <w:shd w:val="clear" w:color="auto" w:fill="767171" w:themeFill="background2" w:themeFillShade="80"/>
          </w:tcPr>
          <w:p w14:paraId="1CBDF568" w14:textId="77777777" w:rsidR="003F1101" w:rsidRPr="003F1101" w:rsidRDefault="003F1101" w:rsidP="003F110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3F1101">
              <w:rPr>
                <w:b/>
                <w:color w:val="FFFFFF" w:themeColor="background1"/>
                <w:sz w:val="22"/>
                <w:szCs w:val="22"/>
              </w:rPr>
              <w:t xml:space="preserve">Clinical Engagement </w:t>
            </w:r>
          </w:p>
        </w:tc>
        <w:tc>
          <w:tcPr>
            <w:tcW w:w="8838" w:type="dxa"/>
          </w:tcPr>
          <w:p w14:paraId="3E7C58B8" w14:textId="66D0CBFA" w:rsidR="003F1101" w:rsidRPr="003D21AC" w:rsidRDefault="003F1101" w:rsidP="003F110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43645EB0" w14:textId="3B3CF78C" w:rsidR="003F1101" w:rsidRPr="003D21AC" w:rsidRDefault="005C589E" w:rsidP="003F110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D21AC">
              <w:rPr>
                <w:color w:val="auto"/>
                <w:sz w:val="20"/>
                <w:szCs w:val="20"/>
              </w:rPr>
              <w:t>N/A</w:t>
            </w:r>
          </w:p>
        </w:tc>
      </w:tr>
      <w:tr w:rsidR="003F1101" w:rsidRPr="003F1101" w14:paraId="540B16A3" w14:textId="77777777" w:rsidTr="00BD3CB7">
        <w:trPr>
          <w:trHeight w:val="268"/>
        </w:trPr>
        <w:tc>
          <w:tcPr>
            <w:tcW w:w="2258" w:type="dxa"/>
            <w:shd w:val="clear" w:color="auto" w:fill="767171" w:themeFill="background2" w:themeFillShade="80"/>
          </w:tcPr>
          <w:p w14:paraId="0FDB35A4" w14:textId="11547A76" w:rsidR="003F1101" w:rsidRPr="003F1101" w:rsidRDefault="003F1101" w:rsidP="003F1101">
            <w:pPr>
              <w:pStyle w:val="Default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Patient/Public Engagement</w:t>
            </w:r>
          </w:p>
        </w:tc>
        <w:tc>
          <w:tcPr>
            <w:tcW w:w="8838" w:type="dxa"/>
          </w:tcPr>
          <w:p w14:paraId="48A5E69E" w14:textId="57FAC8B5" w:rsidR="003F1101" w:rsidRPr="003D21AC" w:rsidRDefault="003F1101" w:rsidP="003F110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67A585CE" w14:textId="42073CFA" w:rsidR="003F1101" w:rsidRPr="003D21AC" w:rsidRDefault="005C589E" w:rsidP="003F1101">
            <w:pPr>
              <w:pStyle w:val="Default"/>
              <w:jc w:val="both"/>
              <w:rPr>
                <w:sz w:val="20"/>
                <w:szCs w:val="20"/>
              </w:rPr>
            </w:pPr>
            <w:r w:rsidRPr="003D21AC">
              <w:rPr>
                <w:sz w:val="20"/>
                <w:szCs w:val="20"/>
              </w:rPr>
              <w:t>N/A</w:t>
            </w:r>
          </w:p>
        </w:tc>
      </w:tr>
      <w:tr w:rsidR="003F1101" w:rsidRPr="003F1101" w14:paraId="4CEC7CFF" w14:textId="77777777" w:rsidTr="00BD3CB7">
        <w:trPr>
          <w:trHeight w:val="268"/>
        </w:trPr>
        <w:tc>
          <w:tcPr>
            <w:tcW w:w="2258" w:type="dxa"/>
            <w:shd w:val="clear" w:color="auto" w:fill="767171" w:themeFill="background2" w:themeFillShade="80"/>
          </w:tcPr>
          <w:p w14:paraId="718CB605" w14:textId="77777777" w:rsidR="003F1101" w:rsidRPr="003F1101" w:rsidRDefault="003F1101" w:rsidP="003F1101">
            <w:pPr>
              <w:pStyle w:val="Default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3F1101">
              <w:rPr>
                <w:b/>
                <w:color w:val="FFFFFF" w:themeColor="background1"/>
                <w:sz w:val="22"/>
                <w:szCs w:val="22"/>
              </w:rPr>
              <w:t>Committee Process and Assurance:</w:t>
            </w:r>
          </w:p>
        </w:tc>
        <w:tc>
          <w:tcPr>
            <w:tcW w:w="8838" w:type="dxa"/>
          </w:tcPr>
          <w:p w14:paraId="3E2FDADF" w14:textId="594921C2" w:rsidR="003F1101" w:rsidRPr="003D21AC" w:rsidRDefault="005C589E" w:rsidP="003F1101">
            <w:pPr>
              <w:pStyle w:val="Default"/>
              <w:jc w:val="both"/>
              <w:rPr>
                <w:sz w:val="20"/>
                <w:szCs w:val="20"/>
              </w:rPr>
            </w:pPr>
            <w:r w:rsidRPr="003D21AC">
              <w:rPr>
                <w:sz w:val="20"/>
                <w:szCs w:val="20"/>
              </w:rPr>
              <w:t>N/A</w:t>
            </w:r>
            <w:r w:rsidR="003F1101" w:rsidRPr="003D21AC">
              <w:rPr>
                <w:sz w:val="20"/>
                <w:szCs w:val="20"/>
              </w:rPr>
              <w:t xml:space="preserve">                                                                </w:t>
            </w:r>
          </w:p>
        </w:tc>
      </w:tr>
    </w:tbl>
    <w:p w14:paraId="663D54D7" w14:textId="59ECA993" w:rsidR="003F1101" w:rsidRDefault="003F1101" w:rsidP="007A35A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9"/>
        <w:gridCol w:w="3446"/>
        <w:gridCol w:w="567"/>
        <w:gridCol w:w="4253"/>
        <w:gridCol w:w="611"/>
      </w:tblGrid>
      <w:tr w:rsidR="001712C0" w14:paraId="7CF169F8" w14:textId="77777777" w:rsidTr="00BD3CB7">
        <w:tc>
          <w:tcPr>
            <w:tcW w:w="2219" w:type="dxa"/>
            <w:shd w:val="clear" w:color="auto" w:fill="767171" w:themeFill="background2" w:themeFillShade="80"/>
          </w:tcPr>
          <w:p w14:paraId="199441F5" w14:textId="764A7C83" w:rsidR="001712C0" w:rsidRPr="001712C0" w:rsidRDefault="001712C0" w:rsidP="007A35A7">
            <w:pPr>
              <w:rPr>
                <w:rFonts w:ascii="Arial" w:hAnsi="Arial" w:cs="Arial"/>
              </w:rPr>
            </w:pPr>
            <w:r w:rsidRPr="001712C0">
              <w:rPr>
                <w:rFonts w:ascii="Arial" w:hAnsi="Arial" w:cs="Arial"/>
                <w:b/>
                <w:color w:val="FFFFFF" w:themeColor="background1"/>
              </w:rPr>
              <w:t>Link to CCG’s Priorities</w:t>
            </w:r>
          </w:p>
        </w:tc>
        <w:tc>
          <w:tcPr>
            <w:tcW w:w="3446" w:type="dxa"/>
          </w:tcPr>
          <w:p w14:paraId="40DC3613" w14:textId="77777777" w:rsidR="001712C0" w:rsidRPr="003D21AC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3D21AC">
              <w:rPr>
                <w:rFonts w:ascii="Arial" w:hAnsi="Arial" w:cs="Arial"/>
                <w:sz w:val="20"/>
                <w:szCs w:val="20"/>
              </w:rPr>
              <w:t>Sustainable services</w:t>
            </w:r>
          </w:p>
          <w:p w14:paraId="67B3174A" w14:textId="3D4A098A" w:rsidR="00DE79E3" w:rsidRPr="003D21AC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3D21AC">
              <w:rPr>
                <w:rFonts w:ascii="Arial" w:hAnsi="Arial" w:cs="Arial"/>
                <w:sz w:val="20"/>
                <w:szCs w:val="20"/>
              </w:rPr>
              <w:t>Empowering people</w:t>
            </w:r>
          </w:p>
        </w:tc>
        <w:tc>
          <w:tcPr>
            <w:tcW w:w="56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040350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680E32" w14:textId="52B6BD3C" w:rsidR="001712C0" w:rsidRPr="003D21AC" w:rsidRDefault="00BB7DA8" w:rsidP="007A35A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D21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572699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915011" w14:textId="30265BB8" w:rsidR="00DE79E3" w:rsidRPr="003D21AC" w:rsidRDefault="00DE79E3" w:rsidP="007A35A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D21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3" w:type="dxa"/>
          </w:tcPr>
          <w:p w14:paraId="497F9167" w14:textId="77777777" w:rsidR="001712C0" w:rsidRPr="003D21AC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3D21AC">
              <w:rPr>
                <w:rFonts w:ascii="Arial" w:hAnsi="Arial" w:cs="Arial"/>
                <w:sz w:val="20"/>
                <w:szCs w:val="20"/>
              </w:rPr>
              <w:t>Supporting communities</w:t>
            </w:r>
          </w:p>
          <w:p w14:paraId="4DB98261" w14:textId="2D035985" w:rsidR="00DE79E3" w:rsidRPr="003D21AC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3D21AC">
              <w:rPr>
                <w:rFonts w:ascii="Arial" w:hAnsi="Arial" w:cs="Arial"/>
                <w:sz w:val="20"/>
                <w:szCs w:val="20"/>
              </w:rPr>
              <w:t xml:space="preserve">Fit for purpose </w:t>
            </w:r>
            <w:proofErr w:type="spellStart"/>
            <w:r w:rsidRPr="003D21AC">
              <w:rPr>
                <w:rFonts w:ascii="Arial" w:hAnsi="Arial" w:cs="Arial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611" w:type="dxa"/>
          </w:tcPr>
          <w:sdt>
            <w:sdtPr>
              <w:rPr>
                <w:rFonts w:ascii="Arial" w:hAnsi="Arial" w:cs="Arial"/>
              </w:rPr>
              <w:id w:val="-1556230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CE2AD4" w14:textId="77777777" w:rsid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71808158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CB93C9" w14:textId="4938CB74" w:rsidR="00DE79E3" w:rsidRPr="001712C0" w:rsidRDefault="00BB7DA8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sdtContent>
          </w:sdt>
        </w:tc>
      </w:tr>
      <w:tr w:rsidR="001712C0" w14:paraId="092650F4" w14:textId="77777777" w:rsidTr="00BD3CB7">
        <w:tc>
          <w:tcPr>
            <w:tcW w:w="2219" w:type="dxa"/>
            <w:shd w:val="clear" w:color="auto" w:fill="767171" w:themeFill="background2" w:themeFillShade="80"/>
          </w:tcPr>
          <w:p w14:paraId="547B5B22" w14:textId="29C58C1C" w:rsidR="001712C0" w:rsidRPr="001712C0" w:rsidRDefault="001712C0" w:rsidP="007A35A7">
            <w:pPr>
              <w:rPr>
                <w:rFonts w:ascii="Arial" w:hAnsi="Arial" w:cs="Arial"/>
              </w:rPr>
            </w:pPr>
            <w:r w:rsidRPr="001712C0">
              <w:rPr>
                <w:rFonts w:ascii="Arial" w:hAnsi="Arial" w:cs="Arial"/>
                <w:b/>
                <w:bCs/>
                <w:color w:val="FFFFFF" w:themeColor="background1"/>
              </w:rPr>
              <w:t>Are there any specific and/or overt risks relating to one or more of the following areas?</w:t>
            </w:r>
          </w:p>
        </w:tc>
        <w:tc>
          <w:tcPr>
            <w:tcW w:w="3446" w:type="dxa"/>
          </w:tcPr>
          <w:p w14:paraId="55172572" w14:textId="663B374D" w:rsidR="001712C0" w:rsidRPr="003D21AC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3D21AC">
              <w:rPr>
                <w:rFonts w:ascii="Arial" w:hAnsi="Arial" w:cs="Arial"/>
                <w:sz w:val="20"/>
                <w:szCs w:val="20"/>
              </w:rPr>
              <w:t>Legal</w:t>
            </w:r>
          </w:p>
          <w:p w14:paraId="38F4EA1E" w14:textId="20AE0C31" w:rsidR="00DE79E3" w:rsidRPr="003D21AC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3D21AC">
              <w:rPr>
                <w:rFonts w:ascii="Arial" w:hAnsi="Arial" w:cs="Arial"/>
                <w:sz w:val="20"/>
                <w:szCs w:val="20"/>
              </w:rPr>
              <w:t>Finance</w:t>
            </w:r>
          </w:p>
          <w:p w14:paraId="26722752" w14:textId="3AA86D68" w:rsidR="00DE79E3" w:rsidRPr="003D21AC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3D21AC">
              <w:rPr>
                <w:rFonts w:ascii="Arial" w:hAnsi="Arial" w:cs="Arial"/>
                <w:sz w:val="20"/>
                <w:szCs w:val="20"/>
              </w:rPr>
              <w:t>Quality</w:t>
            </w:r>
          </w:p>
          <w:p w14:paraId="1B6413ED" w14:textId="413DD160" w:rsidR="00DE79E3" w:rsidRPr="003D21AC" w:rsidRDefault="00622500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3D21AC">
              <w:rPr>
                <w:rFonts w:ascii="Arial" w:hAnsi="Arial" w:cs="Arial"/>
                <w:sz w:val="20"/>
                <w:szCs w:val="20"/>
              </w:rPr>
              <w:t>E</w:t>
            </w:r>
            <w:r w:rsidR="00DE79E3" w:rsidRPr="003D21AC">
              <w:rPr>
                <w:rFonts w:ascii="Arial" w:hAnsi="Arial" w:cs="Arial"/>
                <w:sz w:val="20"/>
                <w:szCs w:val="20"/>
              </w:rPr>
              <w:t>quality</w:t>
            </w:r>
            <w:r w:rsidR="007139D0" w:rsidRPr="003D21AC">
              <w:rPr>
                <w:rFonts w:ascii="Arial" w:hAnsi="Arial" w:cs="Arial"/>
                <w:sz w:val="20"/>
                <w:szCs w:val="20"/>
              </w:rPr>
              <w:t xml:space="preserve"> analysis </w:t>
            </w:r>
            <w:r w:rsidR="00E22203" w:rsidRPr="003D21AC">
              <w:rPr>
                <w:rFonts w:ascii="Arial" w:hAnsi="Arial" w:cs="Arial"/>
                <w:sz w:val="20"/>
                <w:szCs w:val="20"/>
              </w:rPr>
              <w:t>(</w:t>
            </w:r>
            <w:r w:rsidR="007139D0" w:rsidRPr="003D21AC">
              <w:rPr>
                <w:rFonts w:ascii="Arial" w:hAnsi="Arial" w:cs="Arial"/>
                <w:sz w:val="20"/>
                <w:szCs w:val="20"/>
              </w:rPr>
              <w:t>and Due Regard Duty)</w:t>
            </w:r>
          </w:p>
        </w:tc>
        <w:tc>
          <w:tcPr>
            <w:tcW w:w="56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21080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83DC5E" w14:textId="77777777" w:rsidR="001712C0" w:rsidRPr="003D21AC" w:rsidRDefault="00DE79E3" w:rsidP="007A35A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D21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14536182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EA6376" w14:textId="04387A02" w:rsidR="00DE79E3" w:rsidRPr="003D21AC" w:rsidRDefault="00A514D9" w:rsidP="007A35A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1258870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7AAD58" w14:textId="77777777" w:rsidR="00DE79E3" w:rsidRPr="003D21AC" w:rsidRDefault="00DE79E3" w:rsidP="007A35A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D21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1743941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5D2624" w14:textId="6FCFAC08" w:rsidR="00DE79E3" w:rsidRPr="003D21AC" w:rsidRDefault="00DE79E3" w:rsidP="007A35A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D21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3" w:type="dxa"/>
          </w:tcPr>
          <w:p w14:paraId="660E5885" w14:textId="77777777" w:rsidR="001712C0" w:rsidRPr="003D21AC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3D21AC">
              <w:rPr>
                <w:rFonts w:ascii="Arial" w:hAnsi="Arial" w:cs="Arial"/>
                <w:sz w:val="20"/>
                <w:szCs w:val="20"/>
              </w:rPr>
              <w:t>Data protection</w:t>
            </w:r>
          </w:p>
          <w:p w14:paraId="3B20BA69" w14:textId="0F4F195E" w:rsidR="00DE79E3" w:rsidRPr="003D21AC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3D21AC">
              <w:rPr>
                <w:rFonts w:ascii="Arial" w:hAnsi="Arial" w:cs="Arial"/>
                <w:sz w:val="20"/>
                <w:szCs w:val="20"/>
              </w:rPr>
              <w:t>Performance</w:t>
            </w:r>
          </w:p>
          <w:p w14:paraId="358D1203" w14:textId="740489C9" w:rsidR="00DE79E3" w:rsidRPr="003D21AC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3D21AC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611" w:type="dxa"/>
          </w:tcPr>
          <w:sdt>
            <w:sdtPr>
              <w:rPr>
                <w:rFonts w:ascii="Arial" w:hAnsi="Arial" w:cs="Arial"/>
              </w:rPr>
              <w:id w:val="-365675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379ED7" w14:textId="77777777" w:rsid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2015186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E6A19D" w14:textId="77777777" w:rsidR="00DE79E3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2003047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F8DC3F" w14:textId="5C172A38" w:rsidR="00DE79E3" w:rsidRP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</w:tbl>
    <w:p w14:paraId="673254B3" w14:textId="10E8513D" w:rsidR="003F1101" w:rsidRDefault="003F1101" w:rsidP="007A35A7">
      <w:pPr>
        <w:rPr>
          <w:rFonts w:ascii="Arial" w:hAnsi="Arial" w:cs="Arial"/>
        </w:rPr>
      </w:pPr>
    </w:p>
    <w:p w14:paraId="5F1BEBDD" w14:textId="1AF3B3F4" w:rsidR="007A35A7" w:rsidRPr="00481002" w:rsidRDefault="009D2B9B" w:rsidP="007A35A7">
      <w:pPr>
        <w:rPr>
          <w:rFonts w:ascii="Arial" w:hAnsi="Arial" w:cs="Arial"/>
          <w:b/>
          <w:bCs/>
        </w:rPr>
      </w:pPr>
      <w:r w:rsidRPr="00481002">
        <w:rPr>
          <w:rFonts w:ascii="Arial" w:hAnsi="Arial" w:cs="Arial"/>
          <w:b/>
          <w:bCs/>
        </w:rPr>
        <w:t>Provide a summary of the identified risk</w:t>
      </w:r>
    </w:p>
    <w:tbl>
      <w:tblPr>
        <w:tblStyle w:val="TableGrid"/>
        <w:tblpPr w:leftFromText="180" w:rightFromText="180" w:vertAnchor="text" w:horzAnchor="margin" w:tblpY="226"/>
        <w:tblW w:w="0" w:type="auto"/>
        <w:tblBorders>
          <w:bottom w:val="single" w:sz="4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5C589E" w14:paraId="4E2B3321" w14:textId="77777777" w:rsidTr="005C589E">
        <w:trPr>
          <w:trHeight w:val="1692"/>
        </w:trPr>
        <w:tc>
          <w:tcPr>
            <w:tcW w:w="11096" w:type="dxa"/>
          </w:tcPr>
          <w:p w14:paraId="2E52E945" w14:textId="77777777" w:rsidR="00982BC3" w:rsidRDefault="00613B09" w:rsidP="001F1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4551EA">
              <w:rPr>
                <w:rFonts w:ascii="Arial" w:hAnsi="Arial" w:cs="Arial"/>
              </w:rPr>
              <w:t xml:space="preserve">isk </w:t>
            </w:r>
            <w:r>
              <w:rPr>
                <w:rFonts w:ascii="Arial" w:hAnsi="Arial" w:cs="Arial"/>
              </w:rPr>
              <w:t xml:space="preserve">around the ability to recruit staff to the Additional Roles Reimbursement Scheme (ARRS) </w:t>
            </w:r>
            <w:r w:rsidR="001F1A4D">
              <w:rPr>
                <w:rFonts w:ascii="Arial" w:hAnsi="Arial" w:cs="Arial"/>
              </w:rPr>
              <w:t xml:space="preserve">remains, we are linking in with PCN’s to keep up to date with where they are with the recruitment process.  </w:t>
            </w:r>
          </w:p>
          <w:p w14:paraId="1DC9E29B" w14:textId="1983D183" w:rsidR="001F1A4D" w:rsidRPr="001F1A4D" w:rsidRDefault="001F1A4D" w:rsidP="001F1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613B09">
              <w:rPr>
                <w:rFonts w:ascii="Arial" w:hAnsi="Arial" w:cs="Arial"/>
              </w:rPr>
              <w:t>he shortfall in additional funding able to be drawn down from the center if we manage to recruit in full</w:t>
            </w:r>
            <w:r w:rsidR="00982BC3">
              <w:rPr>
                <w:rFonts w:ascii="Arial" w:hAnsi="Arial" w:cs="Arial"/>
              </w:rPr>
              <w:t xml:space="preserve"> </w:t>
            </w:r>
            <w:r w:rsidR="00613B09">
              <w:rPr>
                <w:rFonts w:ascii="Arial" w:hAnsi="Arial" w:cs="Arial"/>
              </w:rPr>
              <w:t>(</w:t>
            </w:r>
            <w:r w:rsidR="00982BC3">
              <w:rPr>
                <w:rFonts w:ascii="Arial" w:hAnsi="Arial" w:cs="Arial"/>
              </w:rPr>
              <w:t>d</w:t>
            </w:r>
            <w:r w:rsidR="00613B09">
              <w:rPr>
                <w:rFonts w:ascii="Arial" w:hAnsi="Arial" w:cs="Arial"/>
              </w:rPr>
              <w:t>etails provided in report circulated for June 21 meeting).</w:t>
            </w:r>
            <w:r>
              <w:rPr>
                <w:rFonts w:ascii="Arial" w:hAnsi="Arial" w:cs="Arial"/>
              </w:rPr>
              <w:t xml:space="preserve">  </w:t>
            </w:r>
            <w:r w:rsidRPr="001F1A4D">
              <w:rPr>
                <w:rFonts w:ascii="Arial" w:hAnsi="Arial" w:cs="Arial"/>
              </w:rPr>
              <w:t xml:space="preserve">If recruitment goes as planned, we expect the risk around the shortfall in additional funding that can be drawn down from the center to be £190K.  </w:t>
            </w:r>
          </w:p>
          <w:p w14:paraId="1E376505" w14:textId="49441CE2" w:rsidR="001F1A4D" w:rsidRDefault="001F1A4D" w:rsidP="005C589E">
            <w:pPr>
              <w:rPr>
                <w:rFonts w:ascii="Arial" w:hAnsi="Arial" w:cs="Arial"/>
              </w:rPr>
            </w:pPr>
          </w:p>
        </w:tc>
      </w:tr>
    </w:tbl>
    <w:p w14:paraId="0E363C1E" w14:textId="77777777" w:rsidR="004D2880" w:rsidRDefault="004D2880" w:rsidP="007A35A7">
      <w:pPr>
        <w:rPr>
          <w:rFonts w:ascii="Arial" w:hAnsi="Arial" w:cs="Arial"/>
          <w:sz w:val="20"/>
          <w:szCs w:val="20"/>
          <w:u w:val="single"/>
        </w:rPr>
      </w:pPr>
    </w:p>
    <w:p w14:paraId="73FDFBD1" w14:textId="616A3D18" w:rsidR="00150C0F" w:rsidRPr="00183CCB" w:rsidRDefault="00183CCB" w:rsidP="007A35A7">
      <w:pPr>
        <w:rPr>
          <w:rFonts w:ascii="Arial" w:hAnsi="Arial" w:cs="Arial"/>
          <w:sz w:val="20"/>
          <w:szCs w:val="20"/>
          <w:u w:val="single"/>
        </w:rPr>
      </w:pPr>
      <w:r w:rsidRPr="00183CCB">
        <w:rPr>
          <w:rFonts w:ascii="Arial" w:hAnsi="Arial" w:cs="Arial"/>
          <w:sz w:val="20"/>
          <w:szCs w:val="20"/>
          <w:u w:val="single"/>
        </w:rPr>
        <w:t>Co-commissioning</w:t>
      </w:r>
      <w:r w:rsidR="004D2880">
        <w:rPr>
          <w:rFonts w:ascii="Arial" w:hAnsi="Arial" w:cs="Arial"/>
          <w:sz w:val="20"/>
          <w:szCs w:val="20"/>
          <w:u w:val="single"/>
        </w:rPr>
        <w:t xml:space="preserve"> summary</w:t>
      </w:r>
    </w:p>
    <w:p w14:paraId="2A3146C8" w14:textId="077EB154" w:rsidR="00960945" w:rsidRPr="00BF688D" w:rsidRDefault="00960945" w:rsidP="007A35A7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7820" w:type="dxa"/>
        <w:tblLook w:val="04A0" w:firstRow="1" w:lastRow="0" w:firstColumn="1" w:lastColumn="0" w:noHBand="0" w:noVBand="1"/>
      </w:tblPr>
      <w:tblGrid>
        <w:gridCol w:w="2800"/>
        <w:gridCol w:w="960"/>
        <w:gridCol w:w="960"/>
        <w:gridCol w:w="960"/>
        <w:gridCol w:w="257"/>
        <w:gridCol w:w="960"/>
        <w:gridCol w:w="960"/>
      </w:tblGrid>
      <w:tr w:rsidR="005A7DEF" w:rsidRPr="005A7DEF" w14:paraId="60933653" w14:textId="77777777" w:rsidTr="00E3588B">
        <w:trPr>
          <w:trHeight w:val="96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DA8BDAA" w14:textId="77777777" w:rsidR="005A7DEF" w:rsidRPr="005A7DEF" w:rsidRDefault="005A7DEF" w:rsidP="00E3588B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D80DBCF" w14:textId="77777777" w:rsidR="005A7DEF" w:rsidRPr="005A7DEF" w:rsidRDefault="005A7DEF" w:rsidP="00E3588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YTD budget (£'000)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7D85D5" w14:textId="77777777" w:rsidR="005A7DEF" w:rsidRPr="005A7DEF" w:rsidRDefault="005A7DEF" w:rsidP="00E3588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YTD actual (£'000)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83EE5C" w14:textId="77777777" w:rsidR="005A7DEF" w:rsidRPr="005A7DEF" w:rsidRDefault="005A7DEF" w:rsidP="00E3588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YTD variance (£'000)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5BF8D1" w14:textId="77777777" w:rsidR="005A7DEF" w:rsidRPr="005A7DEF" w:rsidRDefault="005A7DEF" w:rsidP="00E3588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C654904" w14:textId="77777777" w:rsidR="005A7DEF" w:rsidRPr="005A7DEF" w:rsidRDefault="005A7DEF" w:rsidP="00E3588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M1-M6 budget (£'000)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AECA4A" w14:textId="77777777" w:rsidR="005A7DEF" w:rsidRPr="005A7DEF" w:rsidRDefault="005A7DEF" w:rsidP="00E3588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M1-M6 FOT variance (£'000)</w:t>
            </w:r>
          </w:p>
        </w:tc>
      </w:tr>
      <w:tr w:rsidR="005A7DEF" w:rsidRPr="005A7DEF" w14:paraId="77CC1E29" w14:textId="77777777" w:rsidTr="00E3588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97E5E6" w14:textId="77777777" w:rsidR="005A7DEF" w:rsidRPr="005A7DEF" w:rsidRDefault="005A7DEF" w:rsidP="00E3588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Other - GP Services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5092" w14:textId="77777777" w:rsidR="005A7DEF" w:rsidRPr="005A7DEF" w:rsidRDefault="005A7DEF" w:rsidP="00E3588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A45D" w14:textId="77777777" w:rsidR="005A7DEF" w:rsidRPr="005A7DEF" w:rsidRDefault="005A7DEF" w:rsidP="00E3588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6DE2" w14:textId="77777777" w:rsidR="005A7DEF" w:rsidRPr="005A7DEF" w:rsidRDefault="005A7DEF" w:rsidP="00E3588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671E" w14:textId="77777777" w:rsidR="005A7DEF" w:rsidRPr="005A7DEF" w:rsidRDefault="005A7DEF" w:rsidP="00E3588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D903" w14:textId="77777777" w:rsidR="005A7DEF" w:rsidRPr="005A7DEF" w:rsidRDefault="005A7DEF" w:rsidP="00E3588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56AE" w14:textId="77777777" w:rsidR="005A7DEF" w:rsidRPr="005A7DEF" w:rsidRDefault="005A7DEF" w:rsidP="00E3588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5A7DEF" w:rsidRPr="005A7DEF" w14:paraId="746F2D96" w14:textId="77777777" w:rsidTr="00E3588B">
        <w:trPr>
          <w:trHeight w:val="49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ADF9A3" w14:textId="77777777" w:rsidR="005A7DEF" w:rsidRPr="005A7DEF" w:rsidRDefault="005A7DEF" w:rsidP="00E3588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Other List-Based Services (APMS incl.)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CE09" w14:textId="77777777" w:rsidR="005A7DEF" w:rsidRPr="005A7DEF" w:rsidRDefault="005A7DEF" w:rsidP="00E3588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17CC" w14:textId="77777777" w:rsidR="005A7DEF" w:rsidRPr="005A7DEF" w:rsidRDefault="005A7DEF" w:rsidP="00E3588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AF80" w14:textId="77777777" w:rsidR="005A7DEF" w:rsidRPr="005A7DEF" w:rsidRDefault="005A7DEF" w:rsidP="00E3588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-15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726E" w14:textId="77777777" w:rsidR="005A7DEF" w:rsidRPr="005A7DEF" w:rsidRDefault="005A7DEF" w:rsidP="00E3588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B0E3" w14:textId="77777777" w:rsidR="005A7DEF" w:rsidRPr="005A7DEF" w:rsidRDefault="005A7DEF" w:rsidP="00E3588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1,147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E6E1" w14:textId="77777777" w:rsidR="005A7DEF" w:rsidRPr="005A7DEF" w:rsidRDefault="005A7DEF" w:rsidP="00E3588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5A7DEF" w:rsidRPr="005A7DEF" w14:paraId="2E1676B3" w14:textId="77777777" w:rsidTr="00E3588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34CA67" w14:textId="77777777" w:rsidR="005A7DEF" w:rsidRPr="005A7DEF" w:rsidRDefault="005A7DEF" w:rsidP="00E3588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Premises cost reimbursements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B572" w14:textId="77777777" w:rsidR="005A7DEF" w:rsidRPr="005A7DEF" w:rsidRDefault="005A7DEF" w:rsidP="00E3588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1,483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C310" w14:textId="77777777" w:rsidR="005A7DEF" w:rsidRPr="005A7DEF" w:rsidRDefault="005A7DEF" w:rsidP="00E3588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1,497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FED3" w14:textId="77777777" w:rsidR="005A7DEF" w:rsidRPr="005A7DEF" w:rsidRDefault="005A7DEF" w:rsidP="00E3588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BF77" w14:textId="77777777" w:rsidR="005A7DEF" w:rsidRPr="005A7DEF" w:rsidRDefault="005A7DEF" w:rsidP="00E3588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17C4" w14:textId="77777777" w:rsidR="005A7DEF" w:rsidRPr="005A7DEF" w:rsidRDefault="005A7DEF" w:rsidP="00E3588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2,967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8462" w14:textId="77777777" w:rsidR="005A7DEF" w:rsidRPr="005A7DEF" w:rsidRDefault="005A7DEF" w:rsidP="00E3588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5A7DEF" w:rsidRPr="005A7DEF" w14:paraId="1EA736B0" w14:textId="77777777" w:rsidTr="00E3588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D4755D" w14:textId="77777777" w:rsidR="005A7DEF" w:rsidRPr="005A7DEF" w:rsidRDefault="005A7DEF" w:rsidP="00E3588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Other premises costs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3D70" w14:textId="77777777" w:rsidR="005A7DEF" w:rsidRPr="005A7DEF" w:rsidRDefault="005A7DEF" w:rsidP="00E3588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C48F" w14:textId="77777777" w:rsidR="005A7DEF" w:rsidRPr="005A7DEF" w:rsidRDefault="005A7DEF" w:rsidP="00E3588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77BD" w14:textId="77777777" w:rsidR="005A7DEF" w:rsidRPr="005A7DEF" w:rsidRDefault="005A7DEF" w:rsidP="00E3588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-2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8D0B" w14:textId="77777777" w:rsidR="005A7DEF" w:rsidRPr="005A7DEF" w:rsidRDefault="005A7DEF" w:rsidP="00E3588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8A61" w14:textId="77777777" w:rsidR="005A7DEF" w:rsidRPr="005A7DEF" w:rsidRDefault="005A7DEF" w:rsidP="00E3588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8B9A" w14:textId="77777777" w:rsidR="005A7DEF" w:rsidRPr="005A7DEF" w:rsidRDefault="005A7DEF" w:rsidP="00E3588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5A7DEF" w:rsidRPr="005A7DEF" w14:paraId="01CEAF92" w14:textId="77777777" w:rsidTr="00E3588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E9CA12" w14:textId="77777777" w:rsidR="005A7DEF" w:rsidRPr="005A7DEF" w:rsidRDefault="005A7DEF" w:rsidP="00E3588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General Practice - PMS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C223" w14:textId="77777777" w:rsidR="005A7DEF" w:rsidRPr="005A7DEF" w:rsidRDefault="005A7DEF" w:rsidP="00E3588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4,168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6D48" w14:textId="77777777" w:rsidR="005A7DEF" w:rsidRPr="005A7DEF" w:rsidRDefault="005A7DEF" w:rsidP="00E3588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4,153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1399" w14:textId="77777777" w:rsidR="005A7DEF" w:rsidRPr="005A7DEF" w:rsidRDefault="005A7DEF" w:rsidP="00E3588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-15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ABC3" w14:textId="77777777" w:rsidR="005A7DEF" w:rsidRPr="005A7DEF" w:rsidRDefault="005A7DEF" w:rsidP="00E3588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2B76" w14:textId="77777777" w:rsidR="005A7DEF" w:rsidRPr="005A7DEF" w:rsidRDefault="005A7DEF" w:rsidP="00E3588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8,337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1C9E" w14:textId="77777777" w:rsidR="005A7DEF" w:rsidRPr="005A7DEF" w:rsidRDefault="005A7DEF" w:rsidP="00E3588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5A7DEF" w:rsidRPr="005A7DEF" w14:paraId="1CBA78F5" w14:textId="77777777" w:rsidTr="00E3588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32232B" w14:textId="77777777" w:rsidR="005A7DEF" w:rsidRPr="005A7DEF" w:rsidRDefault="005A7DEF" w:rsidP="00E3588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General Practice - GMS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0C21" w14:textId="77777777" w:rsidR="005A7DEF" w:rsidRPr="005A7DEF" w:rsidRDefault="005A7DEF" w:rsidP="00E3588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20EF" w14:textId="77777777" w:rsidR="005A7DEF" w:rsidRPr="005A7DEF" w:rsidRDefault="005A7DEF" w:rsidP="00E3588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4D96" w14:textId="77777777" w:rsidR="005A7DEF" w:rsidRPr="005A7DEF" w:rsidRDefault="005A7DEF" w:rsidP="00E3588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4862" w14:textId="77777777" w:rsidR="005A7DEF" w:rsidRPr="005A7DEF" w:rsidRDefault="005A7DEF" w:rsidP="00E3588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D015" w14:textId="77777777" w:rsidR="005A7DEF" w:rsidRPr="005A7DEF" w:rsidRDefault="005A7DEF" w:rsidP="00E3588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B8D4" w14:textId="77777777" w:rsidR="005A7DEF" w:rsidRPr="005A7DEF" w:rsidRDefault="005A7DEF" w:rsidP="00E3588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5A7DEF" w:rsidRPr="005A7DEF" w14:paraId="54E46E7E" w14:textId="77777777" w:rsidTr="00E3588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BEFD9C" w14:textId="77777777" w:rsidR="005A7DEF" w:rsidRPr="005A7DEF" w:rsidRDefault="005A7DEF" w:rsidP="00E3588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Community Base Services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22C4" w14:textId="77777777" w:rsidR="005A7DEF" w:rsidRPr="005A7DEF" w:rsidRDefault="005A7DEF" w:rsidP="00E3588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6B8E" w14:textId="77777777" w:rsidR="005A7DEF" w:rsidRPr="005A7DEF" w:rsidRDefault="005A7DEF" w:rsidP="00E3588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02D3" w14:textId="77777777" w:rsidR="005A7DEF" w:rsidRPr="005A7DEF" w:rsidRDefault="005A7DEF" w:rsidP="00E3588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2322" w14:textId="77777777" w:rsidR="005A7DEF" w:rsidRPr="005A7DEF" w:rsidRDefault="005A7DEF" w:rsidP="00E3588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97F5" w14:textId="77777777" w:rsidR="005A7DEF" w:rsidRPr="005A7DEF" w:rsidRDefault="005A7DEF" w:rsidP="00E3588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6C37" w14:textId="77777777" w:rsidR="005A7DEF" w:rsidRPr="005A7DEF" w:rsidRDefault="005A7DEF" w:rsidP="00E3588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5A7DEF" w:rsidRPr="005A7DEF" w14:paraId="369DE872" w14:textId="77777777" w:rsidTr="00E3588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6FC2FF" w14:textId="77777777" w:rsidR="005A7DEF" w:rsidRPr="005A7DEF" w:rsidRDefault="005A7DEF" w:rsidP="00E3588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QOF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87B5" w14:textId="77777777" w:rsidR="005A7DEF" w:rsidRPr="005A7DEF" w:rsidRDefault="005A7DEF" w:rsidP="00E3588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E0C7" w14:textId="77777777" w:rsidR="005A7DEF" w:rsidRPr="005A7DEF" w:rsidRDefault="005A7DEF" w:rsidP="00E3588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0AB6" w14:textId="77777777" w:rsidR="005A7DEF" w:rsidRPr="005A7DEF" w:rsidRDefault="005A7DEF" w:rsidP="00E3588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A87C" w14:textId="77777777" w:rsidR="005A7DEF" w:rsidRPr="005A7DEF" w:rsidRDefault="005A7DEF" w:rsidP="00E3588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51A5" w14:textId="77777777" w:rsidR="005A7DEF" w:rsidRPr="005A7DEF" w:rsidRDefault="005A7DEF" w:rsidP="00E3588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1,332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146A" w14:textId="77777777" w:rsidR="005A7DEF" w:rsidRPr="005A7DEF" w:rsidRDefault="005A7DEF" w:rsidP="00E3588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5A7DEF" w:rsidRPr="005A7DEF" w14:paraId="28839243" w14:textId="77777777" w:rsidTr="00E3588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EB3142" w14:textId="77777777" w:rsidR="005A7DEF" w:rsidRPr="005A7DEF" w:rsidRDefault="005A7DEF" w:rsidP="00E3588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Enhanced services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94A1" w14:textId="77777777" w:rsidR="005A7DEF" w:rsidRPr="005A7DEF" w:rsidRDefault="005A7DEF" w:rsidP="00E3588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D4A8" w14:textId="77777777" w:rsidR="005A7DEF" w:rsidRPr="005A7DEF" w:rsidRDefault="005A7DEF" w:rsidP="00E3588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07BA" w14:textId="77777777" w:rsidR="005A7DEF" w:rsidRPr="005A7DEF" w:rsidRDefault="005A7DEF" w:rsidP="00E3588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241E" w14:textId="77777777" w:rsidR="005A7DEF" w:rsidRPr="005A7DEF" w:rsidRDefault="005A7DEF" w:rsidP="00E3588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598F" w14:textId="77777777" w:rsidR="005A7DEF" w:rsidRPr="005A7DEF" w:rsidRDefault="005A7DEF" w:rsidP="00E3588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8170" w14:textId="77777777" w:rsidR="005A7DEF" w:rsidRPr="005A7DEF" w:rsidRDefault="005A7DEF" w:rsidP="00E3588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5A7DEF" w:rsidRPr="005A7DEF" w14:paraId="15EE0102" w14:textId="77777777" w:rsidTr="00E3588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A8ECF75" w14:textId="77777777" w:rsidR="005A7DEF" w:rsidRPr="005A7DEF" w:rsidRDefault="005A7DEF" w:rsidP="00E3588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3B9A168" w14:textId="77777777" w:rsidR="005A7DEF" w:rsidRPr="005A7DEF" w:rsidRDefault="005A7DEF" w:rsidP="00E358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7,258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71EDD1" w14:textId="77777777" w:rsidR="005A7DEF" w:rsidRPr="005A7DEF" w:rsidRDefault="005A7DEF" w:rsidP="00E358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7,240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BD5F5D" w14:textId="77777777" w:rsidR="005A7DEF" w:rsidRPr="005A7DEF" w:rsidRDefault="005A7DEF" w:rsidP="00E358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-17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00571E" w14:textId="77777777" w:rsidR="005A7DEF" w:rsidRPr="005A7DEF" w:rsidRDefault="005A7DEF" w:rsidP="00E358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1AD5C4" w14:textId="77777777" w:rsidR="005A7DEF" w:rsidRPr="005A7DEF" w:rsidRDefault="005A7DEF" w:rsidP="00E358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14,516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879F10" w14:textId="77777777" w:rsidR="005A7DEF" w:rsidRPr="005A7DEF" w:rsidRDefault="005A7DEF" w:rsidP="00E358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A7D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</w:tbl>
    <w:p w14:paraId="5AB5FF66" w14:textId="6810AC46" w:rsidR="001B757F" w:rsidRDefault="00E3588B" w:rsidP="007A35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14:paraId="62ADD8D0" w14:textId="0C9A0926" w:rsidR="00150C0F" w:rsidRDefault="00F05A1E" w:rsidP="007A35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YTD underspend of £17K is due</w:t>
      </w:r>
      <w:r w:rsidR="00727A02">
        <w:rPr>
          <w:rFonts w:ascii="Arial" w:hAnsi="Arial" w:cs="Arial"/>
          <w:sz w:val="20"/>
          <w:szCs w:val="20"/>
        </w:rPr>
        <w:t xml:space="preserve"> to</w:t>
      </w:r>
      <w:r>
        <w:rPr>
          <w:rFonts w:ascii="Arial" w:hAnsi="Arial" w:cs="Arial"/>
          <w:sz w:val="20"/>
          <w:szCs w:val="20"/>
        </w:rPr>
        <w:t>:</w:t>
      </w:r>
    </w:p>
    <w:p w14:paraId="4B35DEF1" w14:textId="20AB62DB" w:rsidR="00F05A1E" w:rsidRDefault="00E623A6" w:rsidP="00F05A1E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list-based services</w:t>
      </w:r>
      <w:r w:rsidR="007C33A2">
        <w:rPr>
          <w:rFonts w:ascii="Arial" w:hAnsi="Arial" w:cs="Arial"/>
          <w:sz w:val="20"/>
          <w:szCs w:val="20"/>
        </w:rPr>
        <w:t xml:space="preserve"> £15K under spend </w:t>
      </w:r>
      <w:r w:rsidR="00727A02">
        <w:rPr>
          <w:rFonts w:ascii="Arial" w:hAnsi="Arial" w:cs="Arial"/>
          <w:sz w:val="20"/>
          <w:szCs w:val="20"/>
        </w:rPr>
        <w:t>due to</w:t>
      </w:r>
      <w:r w:rsidR="007C33A2">
        <w:rPr>
          <w:rFonts w:ascii="Arial" w:hAnsi="Arial" w:cs="Arial"/>
          <w:sz w:val="20"/>
          <w:szCs w:val="20"/>
        </w:rPr>
        <w:t xml:space="preserve"> d</w:t>
      </w:r>
      <w:r w:rsidR="00F05A1E">
        <w:rPr>
          <w:rFonts w:ascii="Arial" w:hAnsi="Arial" w:cs="Arial"/>
          <w:sz w:val="20"/>
          <w:szCs w:val="20"/>
        </w:rPr>
        <w:t>ispensing fees</w:t>
      </w:r>
      <w:r>
        <w:rPr>
          <w:rFonts w:ascii="Arial" w:hAnsi="Arial" w:cs="Arial"/>
          <w:sz w:val="20"/>
          <w:szCs w:val="20"/>
        </w:rPr>
        <w:t xml:space="preserve"> for April </w:t>
      </w:r>
      <w:r w:rsidR="00727A02">
        <w:rPr>
          <w:rFonts w:ascii="Arial" w:hAnsi="Arial" w:cs="Arial"/>
          <w:sz w:val="20"/>
          <w:szCs w:val="20"/>
        </w:rPr>
        <w:t>being</w:t>
      </w:r>
      <w:r w:rsidR="00F05A1E">
        <w:rPr>
          <w:rFonts w:ascii="Arial" w:hAnsi="Arial" w:cs="Arial"/>
          <w:sz w:val="20"/>
          <w:szCs w:val="20"/>
        </w:rPr>
        <w:t xml:space="preserve"> lower than </w:t>
      </w:r>
      <w:r w:rsidR="004D2880">
        <w:rPr>
          <w:rFonts w:ascii="Arial" w:hAnsi="Arial" w:cs="Arial"/>
          <w:sz w:val="20"/>
          <w:szCs w:val="20"/>
        </w:rPr>
        <w:t>planned</w:t>
      </w:r>
      <w:r>
        <w:rPr>
          <w:rFonts w:ascii="Arial" w:hAnsi="Arial" w:cs="Arial"/>
          <w:sz w:val="20"/>
          <w:szCs w:val="20"/>
        </w:rPr>
        <w:t>, May and June values are estimated due to the delay in receiving data</w:t>
      </w:r>
      <w:r w:rsidR="007C33A2">
        <w:rPr>
          <w:rFonts w:ascii="Arial" w:hAnsi="Arial" w:cs="Arial"/>
          <w:sz w:val="20"/>
          <w:szCs w:val="20"/>
        </w:rPr>
        <w:t>.</w:t>
      </w:r>
    </w:p>
    <w:p w14:paraId="3D75803E" w14:textId="74400E3D" w:rsidR="00566101" w:rsidRPr="00566101" w:rsidRDefault="007C33A2" w:rsidP="00566101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Premises cost reimbursement £14K </w:t>
      </w:r>
      <w:proofErr w:type="gramStart"/>
      <w:r>
        <w:rPr>
          <w:rFonts w:ascii="Arial" w:hAnsi="Arial" w:cs="Arial"/>
          <w:sz w:val="20"/>
          <w:szCs w:val="20"/>
        </w:rPr>
        <w:t>over spend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727A02">
        <w:rPr>
          <w:rFonts w:ascii="Arial" w:hAnsi="Arial" w:cs="Arial"/>
          <w:sz w:val="20"/>
          <w:szCs w:val="20"/>
        </w:rPr>
        <w:t>due to</w:t>
      </w:r>
      <w:r>
        <w:rPr>
          <w:rFonts w:ascii="Arial" w:hAnsi="Arial" w:cs="Arial"/>
          <w:sz w:val="20"/>
          <w:szCs w:val="20"/>
        </w:rPr>
        <w:t xml:space="preserve"> slight v</w:t>
      </w:r>
      <w:r w:rsidR="00E623A6">
        <w:rPr>
          <w:rFonts w:ascii="Arial" w:hAnsi="Arial" w:cs="Arial"/>
          <w:sz w:val="20"/>
          <w:szCs w:val="20"/>
        </w:rPr>
        <w:t>ariations on rent and rates expenditure compared to the assumptions made during planning</w:t>
      </w:r>
    </w:p>
    <w:p w14:paraId="00F13480" w14:textId="6F9B3702" w:rsidR="00566101" w:rsidRDefault="007C33A2" w:rsidP="00B1014D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7C33A2">
        <w:rPr>
          <w:rFonts w:ascii="Arial" w:hAnsi="Arial" w:cs="Arial"/>
          <w:sz w:val="20"/>
          <w:szCs w:val="20"/>
        </w:rPr>
        <w:t>General practice PMS £15K</w:t>
      </w:r>
      <w:r w:rsidR="00727A02">
        <w:rPr>
          <w:rFonts w:ascii="Arial" w:hAnsi="Arial" w:cs="Arial"/>
          <w:sz w:val="20"/>
          <w:szCs w:val="20"/>
        </w:rPr>
        <w:t xml:space="preserve"> </w:t>
      </w:r>
      <w:r w:rsidRPr="007C33A2">
        <w:rPr>
          <w:rFonts w:ascii="Arial" w:hAnsi="Arial" w:cs="Arial"/>
          <w:sz w:val="20"/>
          <w:szCs w:val="20"/>
        </w:rPr>
        <w:t xml:space="preserve">under spend </w:t>
      </w:r>
      <w:r w:rsidR="00727A02">
        <w:rPr>
          <w:rFonts w:ascii="Arial" w:hAnsi="Arial" w:cs="Arial"/>
          <w:sz w:val="20"/>
          <w:szCs w:val="20"/>
        </w:rPr>
        <w:t>due to</w:t>
      </w:r>
      <w:r w:rsidRPr="007C33A2">
        <w:rPr>
          <w:rFonts w:ascii="Arial" w:hAnsi="Arial" w:cs="Arial"/>
          <w:sz w:val="20"/>
          <w:szCs w:val="20"/>
        </w:rPr>
        <w:t xml:space="preserve"> d</w:t>
      </w:r>
      <w:r w:rsidR="00566101" w:rsidRPr="007C33A2">
        <w:rPr>
          <w:rFonts w:ascii="Arial" w:hAnsi="Arial" w:cs="Arial"/>
          <w:sz w:val="20"/>
          <w:szCs w:val="20"/>
        </w:rPr>
        <w:t>emographic growth for Q1</w:t>
      </w:r>
      <w:r w:rsidR="00727A02">
        <w:rPr>
          <w:rFonts w:ascii="Arial" w:hAnsi="Arial" w:cs="Arial"/>
          <w:sz w:val="20"/>
          <w:szCs w:val="20"/>
        </w:rPr>
        <w:t xml:space="preserve"> being</w:t>
      </w:r>
      <w:r w:rsidR="00566101" w:rsidRPr="007C33A2">
        <w:rPr>
          <w:rFonts w:ascii="Arial" w:hAnsi="Arial" w:cs="Arial"/>
          <w:sz w:val="20"/>
          <w:szCs w:val="20"/>
        </w:rPr>
        <w:t xml:space="preserve"> lower than planned </w:t>
      </w:r>
    </w:p>
    <w:p w14:paraId="04890D8F" w14:textId="77777777" w:rsidR="007C33A2" w:rsidRPr="007C33A2" w:rsidRDefault="007C33A2" w:rsidP="007C33A2">
      <w:pPr>
        <w:ind w:left="360"/>
        <w:rPr>
          <w:rFonts w:ascii="Arial" w:hAnsi="Arial" w:cs="Arial"/>
          <w:sz w:val="20"/>
          <w:szCs w:val="20"/>
        </w:rPr>
      </w:pPr>
    </w:p>
    <w:p w14:paraId="787375AC" w14:textId="2EAE5553" w:rsidR="001B757F" w:rsidRDefault="001B757F" w:rsidP="007A35A7">
      <w:pPr>
        <w:rPr>
          <w:rFonts w:ascii="Arial" w:hAnsi="Arial" w:cs="Arial"/>
          <w:sz w:val="20"/>
          <w:szCs w:val="20"/>
          <w:u w:val="single"/>
        </w:rPr>
      </w:pPr>
      <w:r w:rsidRPr="0034351C">
        <w:rPr>
          <w:rFonts w:ascii="Arial" w:hAnsi="Arial" w:cs="Arial"/>
          <w:sz w:val="20"/>
          <w:szCs w:val="20"/>
          <w:u w:val="single"/>
        </w:rPr>
        <w:t>Core Primary Care</w:t>
      </w:r>
      <w:r w:rsidR="004D2880">
        <w:rPr>
          <w:rFonts w:ascii="Arial" w:hAnsi="Arial" w:cs="Arial"/>
          <w:sz w:val="20"/>
          <w:szCs w:val="20"/>
          <w:u w:val="single"/>
        </w:rPr>
        <w:t xml:space="preserve"> summary</w:t>
      </w:r>
    </w:p>
    <w:p w14:paraId="3A80B62E" w14:textId="77777777" w:rsidR="00943893" w:rsidRDefault="00943893" w:rsidP="007A35A7">
      <w:pPr>
        <w:rPr>
          <w:rFonts w:ascii="Arial" w:hAnsi="Arial" w:cs="Arial"/>
        </w:rPr>
      </w:pPr>
    </w:p>
    <w:tbl>
      <w:tblPr>
        <w:tblW w:w="7820" w:type="dxa"/>
        <w:tblLook w:val="04A0" w:firstRow="1" w:lastRow="0" w:firstColumn="1" w:lastColumn="0" w:noHBand="0" w:noVBand="1"/>
      </w:tblPr>
      <w:tblGrid>
        <w:gridCol w:w="2800"/>
        <w:gridCol w:w="960"/>
        <w:gridCol w:w="960"/>
        <w:gridCol w:w="960"/>
        <w:gridCol w:w="257"/>
        <w:gridCol w:w="960"/>
        <w:gridCol w:w="960"/>
      </w:tblGrid>
      <w:tr w:rsidR="00943893" w:rsidRPr="00943893" w14:paraId="1092CB64" w14:textId="77777777" w:rsidTr="00943893">
        <w:trPr>
          <w:trHeight w:val="96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EB4D183" w14:textId="77777777" w:rsidR="00943893" w:rsidRPr="00943893" w:rsidRDefault="00943893" w:rsidP="00943893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r w:rsidRPr="009438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9D660DC" w14:textId="77777777" w:rsidR="00943893" w:rsidRPr="00943893" w:rsidRDefault="00943893" w:rsidP="0094389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r w:rsidRPr="009438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YTD budget (£'000)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EC2B1" w14:textId="77777777" w:rsidR="00943893" w:rsidRPr="00943893" w:rsidRDefault="00943893" w:rsidP="0094389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r w:rsidRPr="009438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YTD actual (£'000)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8FFA49" w14:textId="77777777" w:rsidR="00943893" w:rsidRPr="00943893" w:rsidRDefault="00943893" w:rsidP="0094389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r w:rsidRPr="009438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YTD variance (£'000)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819145" w14:textId="77777777" w:rsidR="00943893" w:rsidRPr="00943893" w:rsidRDefault="00943893" w:rsidP="0094389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r w:rsidRPr="009438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3AEDA3C" w14:textId="77777777" w:rsidR="00943893" w:rsidRPr="00943893" w:rsidRDefault="00943893" w:rsidP="0094389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r w:rsidRPr="009438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M1-M6 budget (£'000)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F7054B" w14:textId="77777777" w:rsidR="00943893" w:rsidRPr="00943893" w:rsidRDefault="00943893" w:rsidP="0094389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r w:rsidRPr="009438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M1-M6 FOT variance (£'000)</w:t>
            </w:r>
          </w:p>
        </w:tc>
      </w:tr>
      <w:tr w:rsidR="00943893" w:rsidRPr="00943893" w14:paraId="2331E796" w14:textId="77777777" w:rsidTr="00943893">
        <w:trPr>
          <w:trHeight w:val="49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917732" w14:textId="77777777" w:rsidR="00943893" w:rsidRPr="00943893" w:rsidRDefault="00943893" w:rsidP="0094389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9438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£1.50 per head PCN Development Investment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9805" w14:textId="77777777" w:rsidR="00943893" w:rsidRPr="00943893" w:rsidRDefault="00943893" w:rsidP="0094389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9438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F65F" w14:textId="77777777" w:rsidR="00943893" w:rsidRPr="00943893" w:rsidRDefault="00943893" w:rsidP="0094389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9438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6C55" w14:textId="77777777" w:rsidR="00943893" w:rsidRPr="00943893" w:rsidRDefault="00943893" w:rsidP="0094389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9438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E035" w14:textId="77777777" w:rsidR="00943893" w:rsidRPr="00943893" w:rsidRDefault="00943893" w:rsidP="0094389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9438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1750" w14:textId="77777777" w:rsidR="00943893" w:rsidRPr="00943893" w:rsidRDefault="00943893" w:rsidP="0094389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9438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2B88" w14:textId="77777777" w:rsidR="00943893" w:rsidRPr="00943893" w:rsidRDefault="00943893" w:rsidP="0094389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9438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943893" w:rsidRPr="00943893" w14:paraId="068D2450" w14:textId="77777777" w:rsidTr="00943893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8E1D8A" w14:textId="77777777" w:rsidR="00943893" w:rsidRPr="00943893" w:rsidRDefault="00943893" w:rsidP="0094389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9438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Community Base Services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0BE1" w14:textId="77777777" w:rsidR="00943893" w:rsidRPr="00943893" w:rsidRDefault="00943893" w:rsidP="0094389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9438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1,741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7AED" w14:textId="77777777" w:rsidR="00943893" w:rsidRPr="00943893" w:rsidRDefault="00943893" w:rsidP="0094389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9438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1,693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94D0" w14:textId="09AD28E1" w:rsidR="00943893" w:rsidRPr="00943893" w:rsidRDefault="00943893" w:rsidP="0094389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9438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-</w:t>
            </w:r>
            <w:r w:rsidR="005C77C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34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E1AE" w14:textId="77777777" w:rsidR="00943893" w:rsidRPr="00943893" w:rsidRDefault="00943893" w:rsidP="0094389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9438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9C30" w14:textId="3A8D78B0" w:rsidR="00943893" w:rsidRPr="00943893" w:rsidRDefault="00943893" w:rsidP="0094389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9438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3,2</w:t>
            </w:r>
            <w:r w:rsidR="005C77C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BE52" w14:textId="0E5ABB50" w:rsidR="00943893" w:rsidRPr="00943893" w:rsidRDefault="00511943" w:rsidP="0094389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943893" w:rsidRPr="00943893" w14:paraId="6EF394D8" w14:textId="77777777" w:rsidTr="00943893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B6C057" w14:textId="77777777" w:rsidR="00943893" w:rsidRPr="00943893" w:rsidRDefault="00943893" w:rsidP="0094389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9438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GP IT Costs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BB0C" w14:textId="77777777" w:rsidR="00943893" w:rsidRPr="00943893" w:rsidRDefault="00943893" w:rsidP="0094389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9438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9580" w14:textId="77777777" w:rsidR="00943893" w:rsidRPr="00943893" w:rsidRDefault="00943893" w:rsidP="0094389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9438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1C31" w14:textId="77777777" w:rsidR="00943893" w:rsidRDefault="00943893" w:rsidP="0094389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9438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</w:t>
            </w:r>
            <w:r w:rsidR="005C77C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</w:t>
            </w:r>
          </w:p>
          <w:p w14:paraId="0B5D16AF" w14:textId="0AA67D78" w:rsidR="005C77CC" w:rsidRPr="00943893" w:rsidRDefault="005C77CC" w:rsidP="0094389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007C" w14:textId="77777777" w:rsidR="00943893" w:rsidRPr="00943893" w:rsidRDefault="00943893" w:rsidP="0094389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9438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3E68" w14:textId="5A611708" w:rsidR="00943893" w:rsidRPr="00943893" w:rsidRDefault="00943893" w:rsidP="0094389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9438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5</w:t>
            </w:r>
            <w:r w:rsidR="005C77C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FFCF" w14:textId="77777777" w:rsidR="00943893" w:rsidRPr="00943893" w:rsidRDefault="00943893" w:rsidP="0094389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9438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943893" w:rsidRPr="00943893" w14:paraId="748C0C1F" w14:textId="77777777" w:rsidTr="00943893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A20AD9" w14:textId="77777777" w:rsidR="00943893" w:rsidRPr="00943893" w:rsidRDefault="00943893" w:rsidP="0094389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9438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PC - Other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DB5C" w14:textId="77777777" w:rsidR="00943893" w:rsidRPr="00943893" w:rsidRDefault="00943893" w:rsidP="0094389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9438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1890" w14:textId="77777777" w:rsidR="00943893" w:rsidRPr="00943893" w:rsidRDefault="00943893" w:rsidP="0094389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9438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125F" w14:textId="77777777" w:rsidR="00943893" w:rsidRPr="00943893" w:rsidRDefault="00943893" w:rsidP="0094389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9438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99FB" w14:textId="77777777" w:rsidR="00943893" w:rsidRPr="00943893" w:rsidRDefault="00943893" w:rsidP="0094389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9438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195D" w14:textId="77777777" w:rsidR="00943893" w:rsidRPr="00943893" w:rsidRDefault="00943893" w:rsidP="0094389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9438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BCD6" w14:textId="77777777" w:rsidR="00943893" w:rsidRPr="00943893" w:rsidRDefault="00943893" w:rsidP="0094389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9438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943893" w:rsidRPr="00943893" w14:paraId="2DE99EE7" w14:textId="77777777" w:rsidTr="00943893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BB9EBCF" w14:textId="77777777" w:rsidR="00943893" w:rsidRPr="00943893" w:rsidRDefault="00943893" w:rsidP="0094389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438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98496D" w14:textId="77777777" w:rsidR="00943893" w:rsidRPr="00943893" w:rsidRDefault="00943893" w:rsidP="009438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438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2,073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45C3A5" w14:textId="77777777" w:rsidR="00943893" w:rsidRPr="00943893" w:rsidRDefault="00943893" w:rsidP="009438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438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2,040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6F841B" w14:textId="77777777" w:rsidR="00943893" w:rsidRPr="00943893" w:rsidRDefault="00943893" w:rsidP="009438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438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-33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2BE0B1" w14:textId="77777777" w:rsidR="00943893" w:rsidRPr="00943893" w:rsidRDefault="00943893" w:rsidP="009438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438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57BAD2" w14:textId="77777777" w:rsidR="00943893" w:rsidRPr="00943893" w:rsidRDefault="00943893" w:rsidP="009438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438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3,948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A6DFEF" w14:textId="6A4D4CEA" w:rsidR="00943893" w:rsidRPr="00943893" w:rsidRDefault="00511943" w:rsidP="009438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</w:tbl>
    <w:p w14:paraId="6DF61D3F" w14:textId="37A37845" w:rsidR="00451CCC" w:rsidRDefault="00451CCC" w:rsidP="007A35A7">
      <w:pPr>
        <w:rPr>
          <w:rFonts w:ascii="Arial" w:hAnsi="Arial" w:cs="Arial"/>
        </w:rPr>
      </w:pPr>
    </w:p>
    <w:p w14:paraId="5C972B98" w14:textId="5D7DA9CD" w:rsidR="00883B8D" w:rsidRDefault="00150C0F" w:rsidP="00150C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YTD underspend of £33k is </w:t>
      </w:r>
      <w:r w:rsidR="00727A02">
        <w:rPr>
          <w:rFonts w:ascii="Arial" w:hAnsi="Arial" w:cs="Arial"/>
          <w:sz w:val="20"/>
          <w:szCs w:val="20"/>
        </w:rPr>
        <w:t>predominantly</w:t>
      </w:r>
      <w:r>
        <w:rPr>
          <w:rFonts w:ascii="Arial" w:hAnsi="Arial" w:cs="Arial"/>
          <w:sz w:val="20"/>
          <w:szCs w:val="20"/>
        </w:rPr>
        <w:t xml:space="preserve"> due to activity on enhanced services being lower than planned</w:t>
      </w:r>
      <w:r w:rsidR="00566101">
        <w:rPr>
          <w:rFonts w:ascii="Arial" w:hAnsi="Arial" w:cs="Arial"/>
          <w:sz w:val="20"/>
          <w:szCs w:val="20"/>
        </w:rPr>
        <w:t xml:space="preserve"> for the first quarter.</w:t>
      </w:r>
    </w:p>
    <w:p w14:paraId="4B9BD338" w14:textId="6A5DF6D0" w:rsidR="00150C0F" w:rsidRDefault="00150C0F" w:rsidP="00150C0F">
      <w:pPr>
        <w:rPr>
          <w:rFonts w:ascii="Arial" w:hAnsi="Arial" w:cs="Arial"/>
          <w:sz w:val="20"/>
          <w:szCs w:val="20"/>
        </w:rPr>
      </w:pPr>
    </w:p>
    <w:p w14:paraId="2D3B3BC5" w14:textId="15F80E57" w:rsidR="00883B8D" w:rsidRDefault="00883B8D" w:rsidP="00150C0F">
      <w:pPr>
        <w:rPr>
          <w:rFonts w:ascii="Arial" w:hAnsi="Arial" w:cs="Arial"/>
          <w:sz w:val="20"/>
          <w:szCs w:val="20"/>
          <w:u w:val="single"/>
        </w:rPr>
      </w:pPr>
      <w:r w:rsidRPr="00883B8D">
        <w:rPr>
          <w:rFonts w:ascii="Arial" w:hAnsi="Arial" w:cs="Arial"/>
          <w:sz w:val="20"/>
          <w:szCs w:val="20"/>
          <w:u w:val="single"/>
        </w:rPr>
        <w:t>Budget adjustments:</w:t>
      </w:r>
    </w:p>
    <w:p w14:paraId="684AD387" w14:textId="19A1DD87" w:rsidR="00B84BE0" w:rsidRDefault="00B84BE0" w:rsidP="00150C0F">
      <w:pPr>
        <w:rPr>
          <w:rFonts w:ascii="Arial" w:hAnsi="Arial" w:cs="Arial"/>
          <w:sz w:val="20"/>
          <w:szCs w:val="20"/>
          <w:u w:val="single"/>
        </w:rPr>
      </w:pPr>
    </w:p>
    <w:p w14:paraId="4BD6B997" w14:textId="77777777" w:rsidR="004915F7" w:rsidRDefault="00B84BE0" w:rsidP="00150C0F">
      <w:pPr>
        <w:rPr>
          <w:rFonts w:ascii="Arial" w:hAnsi="Arial" w:cs="Arial"/>
          <w:sz w:val="20"/>
          <w:szCs w:val="20"/>
        </w:rPr>
      </w:pPr>
      <w:r w:rsidRPr="00B84BE0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budget transfer of £978K, from delegated to core primary care, which had been confirmed in the last report has been actioned</w:t>
      </w:r>
      <w:r w:rsidR="004915F7">
        <w:rPr>
          <w:rFonts w:ascii="Arial" w:hAnsi="Arial" w:cs="Arial"/>
          <w:sz w:val="20"/>
          <w:szCs w:val="20"/>
        </w:rPr>
        <w:t>.</w:t>
      </w:r>
    </w:p>
    <w:p w14:paraId="288C7FBC" w14:textId="731D4E03" w:rsidR="00150C0F" w:rsidRPr="00883B8D" w:rsidRDefault="00B84BE0" w:rsidP="00707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 the last report</w:t>
      </w:r>
      <w:r w:rsidR="004915F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the core primary care budget has increased by £167K</w:t>
      </w:r>
      <w:r w:rsidR="004915F7">
        <w:rPr>
          <w:rFonts w:ascii="Arial" w:hAnsi="Arial" w:cs="Arial"/>
          <w:sz w:val="20"/>
          <w:szCs w:val="20"/>
        </w:rPr>
        <w:t>. This is due</w:t>
      </w:r>
      <w:r w:rsidR="00707A2B">
        <w:rPr>
          <w:rFonts w:ascii="Arial" w:hAnsi="Arial" w:cs="Arial"/>
          <w:sz w:val="20"/>
          <w:szCs w:val="20"/>
        </w:rPr>
        <w:t xml:space="preserve"> to the following adjustments</w:t>
      </w:r>
      <w:r w:rsidR="004915F7">
        <w:rPr>
          <w:rFonts w:ascii="Arial" w:hAnsi="Arial" w:cs="Arial"/>
          <w:sz w:val="20"/>
          <w:szCs w:val="20"/>
        </w:rPr>
        <w:t>:</w:t>
      </w:r>
    </w:p>
    <w:p w14:paraId="5B8C3376" w14:textId="07EE3EE6" w:rsidR="00150C0F" w:rsidRDefault="00150C0F" w:rsidP="00150C0F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D00D2">
        <w:rPr>
          <w:rFonts w:ascii="Arial" w:hAnsi="Arial" w:cs="Arial"/>
          <w:sz w:val="20"/>
          <w:szCs w:val="20"/>
        </w:rPr>
        <w:t>£235K additional allocation</w:t>
      </w:r>
      <w:r>
        <w:rPr>
          <w:rFonts w:ascii="Arial" w:hAnsi="Arial" w:cs="Arial"/>
          <w:sz w:val="20"/>
          <w:szCs w:val="20"/>
        </w:rPr>
        <w:t xml:space="preserve"> received</w:t>
      </w:r>
      <w:r w:rsidRPr="008D00D2">
        <w:rPr>
          <w:rFonts w:ascii="Arial" w:hAnsi="Arial" w:cs="Arial"/>
          <w:sz w:val="20"/>
          <w:szCs w:val="20"/>
        </w:rPr>
        <w:t xml:space="preserve"> for</w:t>
      </w:r>
      <w:r>
        <w:rPr>
          <w:rFonts w:ascii="Arial" w:hAnsi="Arial" w:cs="Arial"/>
          <w:sz w:val="20"/>
          <w:szCs w:val="20"/>
        </w:rPr>
        <w:t xml:space="preserve"> Q1</w:t>
      </w:r>
      <w:r w:rsidRPr="008D00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GP </w:t>
      </w:r>
      <w:r w:rsidRPr="008D00D2">
        <w:rPr>
          <w:rFonts w:ascii="Arial" w:hAnsi="Arial" w:cs="Arial"/>
          <w:sz w:val="20"/>
          <w:szCs w:val="20"/>
        </w:rPr>
        <w:t xml:space="preserve">COVID </w:t>
      </w:r>
      <w:r>
        <w:rPr>
          <w:rFonts w:ascii="Arial" w:hAnsi="Arial" w:cs="Arial"/>
          <w:sz w:val="20"/>
          <w:szCs w:val="20"/>
        </w:rPr>
        <w:t>Expansion</w:t>
      </w:r>
      <w:r w:rsidRPr="008D00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Fund</w:t>
      </w:r>
      <w:r w:rsidR="00883B8D">
        <w:rPr>
          <w:rFonts w:ascii="Arial" w:hAnsi="Arial" w:cs="Arial"/>
          <w:sz w:val="20"/>
          <w:szCs w:val="20"/>
        </w:rPr>
        <w:t>, this will be paid to PCN’s on submission of plans.</w:t>
      </w:r>
      <w:r>
        <w:rPr>
          <w:rFonts w:ascii="Arial" w:hAnsi="Arial" w:cs="Arial"/>
          <w:sz w:val="20"/>
          <w:szCs w:val="20"/>
        </w:rPr>
        <w:t xml:space="preserve">  We are expecting</w:t>
      </w:r>
      <w:r w:rsidR="00883B8D">
        <w:rPr>
          <w:rFonts w:ascii="Arial" w:hAnsi="Arial" w:cs="Arial"/>
          <w:sz w:val="20"/>
          <w:szCs w:val="20"/>
        </w:rPr>
        <w:t xml:space="preserve"> to receive a further</w:t>
      </w:r>
      <w:r>
        <w:rPr>
          <w:rFonts w:ascii="Arial" w:hAnsi="Arial" w:cs="Arial"/>
          <w:sz w:val="20"/>
          <w:szCs w:val="20"/>
        </w:rPr>
        <w:t xml:space="preserve"> £117K for Q2.</w:t>
      </w:r>
    </w:p>
    <w:p w14:paraId="2C9F24D6" w14:textId="72EAF76E" w:rsidR="00150C0F" w:rsidRDefault="00150C0F" w:rsidP="00150C0F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£</w:t>
      </w:r>
      <w:r w:rsidR="00707A2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44K adjustment</w:t>
      </w:r>
      <w:r w:rsidR="00707A2B">
        <w:rPr>
          <w:rFonts w:ascii="Arial" w:hAnsi="Arial" w:cs="Arial"/>
          <w:sz w:val="20"/>
          <w:szCs w:val="20"/>
        </w:rPr>
        <w:t xml:space="preserve"> due to </w:t>
      </w:r>
      <w:r w:rsidR="00982BC3">
        <w:rPr>
          <w:rFonts w:ascii="Arial" w:hAnsi="Arial" w:cs="Arial"/>
          <w:sz w:val="20"/>
          <w:szCs w:val="20"/>
        </w:rPr>
        <w:t xml:space="preserve">20-21 expenditure which had </w:t>
      </w:r>
      <w:r w:rsidR="00707A2B">
        <w:rPr>
          <w:rFonts w:ascii="Arial" w:hAnsi="Arial" w:cs="Arial"/>
          <w:sz w:val="20"/>
          <w:szCs w:val="20"/>
        </w:rPr>
        <w:t xml:space="preserve">previously </w:t>
      </w:r>
      <w:r w:rsidR="00982BC3">
        <w:rPr>
          <w:rFonts w:ascii="Arial" w:hAnsi="Arial" w:cs="Arial"/>
          <w:sz w:val="20"/>
          <w:szCs w:val="20"/>
        </w:rPr>
        <w:t xml:space="preserve">been </w:t>
      </w:r>
      <w:r w:rsidR="00707A2B">
        <w:rPr>
          <w:rFonts w:ascii="Arial" w:hAnsi="Arial" w:cs="Arial"/>
          <w:sz w:val="20"/>
          <w:szCs w:val="20"/>
        </w:rPr>
        <w:t>estimated has now been confirmed.</w:t>
      </w:r>
    </w:p>
    <w:p w14:paraId="7054FFF4" w14:textId="0CD34481" w:rsidR="00150C0F" w:rsidRPr="008D00D2" w:rsidRDefault="00150C0F" w:rsidP="00150C0F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£</w:t>
      </w:r>
      <w:r w:rsidR="00707A2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24K t</w:t>
      </w:r>
      <w:r w:rsidR="00883B8D">
        <w:rPr>
          <w:rFonts w:ascii="Arial" w:hAnsi="Arial" w:cs="Arial"/>
          <w:sz w:val="20"/>
          <w:szCs w:val="20"/>
        </w:rPr>
        <w:t>ran</w:t>
      </w:r>
      <w:r>
        <w:rPr>
          <w:rFonts w:ascii="Arial" w:hAnsi="Arial" w:cs="Arial"/>
          <w:sz w:val="20"/>
          <w:szCs w:val="20"/>
        </w:rPr>
        <w:t>sf</w:t>
      </w:r>
      <w:r w:rsidR="00883B8D"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z w:val="20"/>
          <w:szCs w:val="20"/>
        </w:rPr>
        <w:t xml:space="preserve"> to NHSE for </w:t>
      </w:r>
      <w:r w:rsidR="00883B8D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GP appraisal and peer support</w:t>
      </w:r>
      <w:r w:rsidR="00883B8D">
        <w:rPr>
          <w:rFonts w:ascii="Arial" w:hAnsi="Arial" w:cs="Arial"/>
          <w:sz w:val="20"/>
          <w:szCs w:val="20"/>
        </w:rPr>
        <w:t xml:space="preserve"> scheme</w:t>
      </w:r>
      <w:r>
        <w:rPr>
          <w:rFonts w:ascii="Arial" w:hAnsi="Arial" w:cs="Arial"/>
          <w:sz w:val="20"/>
          <w:szCs w:val="20"/>
        </w:rPr>
        <w:t>.</w:t>
      </w:r>
      <w:r w:rsidR="004915F7">
        <w:rPr>
          <w:rFonts w:ascii="Arial" w:hAnsi="Arial" w:cs="Arial"/>
          <w:sz w:val="20"/>
          <w:szCs w:val="20"/>
        </w:rPr>
        <w:t xml:space="preserve">  From April 21 the responsibility for paying for this scheme transferred from NEL CCG to NHSE</w:t>
      </w:r>
      <w:r w:rsidR="00982BC3">
        <w:rPr>
          <w:rFonts w:ascii="Arial" w:hAnsi="Arial" w:cs="Arial"/>
          <w:sz w:val="20"/>
          <w:szCs w:val="20"/>
        </w:rPr>
        <w:t>, this transfer aligns the funding with the change in responsibility.</w:t>
      </w:r>
      <w:r w:rsidR="004915F7">
        <w:rPr>
          <w:rFonts w:ascii="Arial" w:hAnsi="Arial" w:cs="Arial"/>
          <w:sz w:val="20"/>
          <w:szCs w:val="20"/>
        </w:rPr>
        <w:t xml:space="preserve"> </w:t>
      </w:r>
    </w:p>
    <w:p w14:paraId="1549CF21" w14:textId="07EC2828" w:rsidR="00150C0F" w:rsidRDefault="00150C0F" w:rsidP="007A35A7">
      <w:pPr>
        <w:rPr>
          <w:rFonts w:ascii="Arial" w:hAnsi="Arial" w:cs="Arial"/>
        </w:rPr>
      </w:pPr>
    </w:p>
    <w:p w14:paraId="3CBA1457" w14:textId="77777777" w:rsidR="00566101" w:rsidRDefault="00566101" w:rsidP="007A35A7">
      <w:pPr>
        <w:rPr>
          <w:rFonts w:ascii="Arial" w:hAnsi="Arial" w:cs="Arial"/>
          <w:sz w:val="20"/>
          <w:szCs w:val="20"/>
        </w:rPr>
      </w:pPr>
    </w:p>
    <w:p w14:paraId="7119629E" w14:textId="77777777" w:rsidR="00511943" w:rsidRDefault="00511943" w:rsidP="007A35A7">
      <w:pPr>
        <w:rPr>
          <w:rFonts w:ascii="Arial" w:hAnsi="Arial" w:cs="Arial"/>
          <w:sz w:val="20"/>
          <w:szCs w:val="20"/>
          <w:u w:val="single"/>
        </w:rPr>
      </w:pPr>
    </w:p>
    <w:p w14:paraId="1252A659" w14:textId="77777777" w:rsidR="00511943" w:rsidRDefault="00511943" w:rsidP="007A35A7">
      <w:pPr>
        <w:rPr>
          <w:rFonts w:ascii="Arial" w:hAnsi="Arial" w:cs="Arial"/>
          <w:sz w:val="20"/>
          <w:szCs w:val="20"/>
          <w:u w:val="single"/>
        </w:rPr>
      </w:pPr>
    </w:p>
    <w:p w14:paraId="15BC4B98" w14:textId="77777777" w:rsidR="00511943" w:rsidRDefault="00511943" w:rsidP="007A35A7">
      <w:pPr>
        <w:rPr>
          <w:rFonts w:ascii="Arial" w:hAnsi="Arial" w:cs="Arial"/>
          <w:sz w:val="20"/>
          <w:szCs w:val="20"/>
          <w:u w:val="single"/>
        </w:rPr>
      </w:pPr>
    </w:p>
    <w:p w14:paraId="3688F4F8" w14:textId="07C46DFE" w:rsidR="00DD416E" w:rsidRPr="00566101" w:rsidRDefault="00DD416E" w:rsidP="007A35A7">
      <w:pPr>
        <w:rPr>
          <w:rFonts w:ascii="Arial" w:hAnsi="Arial" w:cs="Arial"/>
          <w:sz w:val="20"/>
          <w:szCs w:val="20"/>
          <w:u w:val="single"/>
        </w:rPr>
      </w:pPr>
      <w:r w:rsidRPr="00566101">
        <w:rPr>
          <w:rFonts w:ascii="Arial" w:hAnsi="Arial" w:cs="Arial"/>
          <w:sz w:val="20"/>
          <w:szCs w:val="20"/>
          <w:u w:val="single"/>
        </w:rPr>
        <w:t>NELC</w:t>
      </w:r>
      <w:r w:rsidR="00566101" w:rsidRPr="00566101">
        <w:rPr>
          <w:rFonts w:ascii="Arial" w:hAnsi="Arial" w:cs="Arial"/>
          <w:sz w:val="20"/>
          <w:szCs w:val="20"/>
          <w:u w:val="single"/>
        </w:rPr>
        <w:t xml:space="preserve"> Commissioned Schemes</w:t>
      </w:r>
    </w:p>
    <w:p w14:paraId="19814183" w14:textId="16F6FAF5" w:rsidR="00DD416E" w:rsidRDefault="00DD416E" w:rsidP="007A35A7">
      <w:pPr>
        <w:rPr>
          <w:rFonts w:ascii="Arial" w:hAnsi="Arial" w:cs="Arial"/>
          <w:sz w:val="20"/>
          <w:szCs w:val="20"/>
        </w:rPr>
      </w:pPr>
    </w:p>
    <w:tbl>
      <w:tblPr>
        <w:tblW w:w="7820" w:type="dxa"/>
        <w:tblLook w:val="04A0" w:firstRow="1" w:lastRow="0" w:firstColumn="1" w:lastColumn="0" w:noHBand="0" w:noVBand="1"/>
      </w:tblPr>
      <w:tblGrid>
        <w:gridCol w:w="2800"/>
        <w:gridCol w:w="960"/>
        <w:gridCol w:w="960"/>
        <w:gridCol w:w="960"/>
        <w:gridCol w:w="257"/>
        <w:gridCol w:w="960"/>
        <w:gridCol w:w="960"/>
      </w:tblGrid>
      <w:tr w:rsidR="00566101" w:rsidRPr="00566101" w14:paraId="27CE88EC" w14:textId="77777777" w:rsidTr="00566101">
        <w:trPr>
          <w:trHeight w:val="7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C2DA378" w14:textId="77777777" w:rsidR="00566101" w:rsidRPr="00566101" w:rsidRDefault="00566101" w:rsidP="00566101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r w:rsidRPr="0056610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DE50D8E" w14:textId="77777777" w:rsidR="00566101" w:rsidRPr="00566101" w:rsidRDefault="00566101" w:rsidP="00566101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r w:rsidRPr="0056610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YTD budget (£'000)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45EE0F" w14:textId="77777777" w:rsidR="00566101" w:rsidRPr="00566101" w:rsidRDefault="00566101" w:rsidP="00566101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r w:rsidRPr="0056610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YTD actual (£'000)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CA7777" w14:textId="77777777" w:rsidR="00566101" w:rsidRPr="00566101" w:rsidRDefault="00566101" w:rsidP="00566101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r w:rsidRPr="0056610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YTD variance (£'000)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55C4AF" w14:textId="77777777" w:rsidR="00566101" w:rsidRPr="00566101" w:rsidRDefault="00566101" w:rsidP="00566101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r w:rsidRPr="0056610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F6726BE" w14:textId="77777777" w:rsidR="00566101" w:rsidRPr="00566101" w:rsidRDefault="00566101" w:rsidP="00566101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r w:rsidRPr="0056610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Annual budget (£'000)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463791" w14:textId="77777777" w:rsidR="00566101" w:rsidRPr="00566101" w:rsidRDefault="00566101" w:rsidP="00566101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r w:rsidRPr="0056610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FOT variance (£'000)</w:t>
            </w:r>
          </w:p>
        </w:tc>
      </w:tr>
      <w:tr w:rsidR="00566101" w:rsidRPr="00566101" w14:paraId="40FF683B" w14:textId="77777777" w:rsidTr="00566101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679802" w14:textId="77777777" w:rsidR="00566101" w:rsidRPr="00566101" w:rsidRDefault="00566101" w:rsidP="0056610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661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LARC fits and removals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4923" w14:textId="77777777" w:rsidR="00566101" w:rsidRPr="00566101" w:rsidRDefault="00566101" w:rsidP="005661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661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9755" w14:textId="77777777" w:rsidR="00566101" w:rsidRPr="00566101" w:rsidRDefault="00566101" w:rsidP="005661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661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8CFF" w14:textId="77777777" w:rsidR="00566101" w:rsidRPr="00566101" w:rsidRDefault="00566101" w:rsidP="005661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661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-12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C272" w14:textId="77777777" w:rsidR="00566101" w:rsidRPr="00566101" w:rsidRDefault="00566101" w:rsidP="005661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661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3E8B" w14:textId="77777777" w:rsidR="00566101" w:rsidRPr="00566101" w:rsidRDefault="00566101" w:rsidP="005661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661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3DFF" w14:textId="77777777" w:rsidR="00566101" w:rsidRPr="00566101" w:rsidRDefault="00566101" w:rsidP="005661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661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-2</w:t>
            </w:r>
          </w:p>
        </w:tc>
      </w:tr>
      <w:tr w:rsidR="00566101" w:rsidRPr="00566101" w14:paraId="15F6BFED" w14:textId="77777777" w:rsidTr="00566101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4E7E5F" w14:textId="77777777" w:rsidR="00566101" w:rsidRPr="00566101" w:rsidRDefault="00566101" w:rsidP="0056610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661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Health checks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BB4E" w14:textId="77777777" w:rsidR="00566101" w:rsidRPr="00566101" w:rsidRDefault="00566101" w:rsidP="005661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661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9367" w14:textId="77777777" w:rsidR="00566101" w:rsidRPr="00566101" w:rsidRDefault="00566101" w:rsidP="005661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661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97C1" w14:textId="77777777" w:rsidR="00566101" w:rsidRPr="00566101" w:rsidRDefault="00566101" w:rsidP="005661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661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-11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AFF1" w14:textId="77777777" w:rsidR="00566101" w:rsidRPr="00566101" w:rsidRDefault="00566101" w:rsidP="005661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661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6873" w14:textId="77777777" w:rsidR="00566101" w:rsidRPr="00566101" w:rsidRDefault="00566101" w:rsidP="005661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661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CA97" w14:textId="77777777" w:rsidR="00566101" w:rsidRPr="00566101" w:rsidRDefault="00566101" w:rsidP="005661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661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566101" w:rsidRPr="00566101" w14:paraId="48575E35" w14:textId="77777777" w:rsidTr="00566101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2D9BFF" w14:textId="77777777" w:rsidR="00566101" w:rsidRPr="00566101" w:rsidRDefault="00566101" w:rsidP="0056610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661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Stop smoking service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689F" w14:textId="77777777" w:rsidR="00566101" w:rsidRPr="00566101" w:rsidRDefault="00566101" w:rsidP="005661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661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4D36" w14:textId="77777777" w:rsidR="00566101" w:rsidRPr="00566101" w:rsidRDefault="00566101" w:rsidP="005661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661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0C54" w14:textId="77777777" w:rsidR="00566101" w:rsidRPr="00566101" w:rsidRDefault="00566101" w:rsidP="005661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661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-1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A1CC" w14:textId="77777777" w:rsidR="00566101" w:rsidRPr="00566101" w:rsidRDefault="00566101" w:rsidP="005661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661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DA30" w14:textId="77777777" w:rsidR="00566101" w:rsidRPr="00566101" w:rsidRDefault="00566101" w:rsidP="005661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661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3D6E" w14:textId="77777777" w:rsidR="00566101" w:rsidRPr="00566101" w:rsidRDefault="00566101" w:rsidP="005661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661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566101" w:rsidRPr="00566101" w14:paraId="4919D8AA" w14:textId="77777777" w:rsidTr="00566101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C5E866" w14:textId="77777777" w:rsidR="00566101" w:rsidRPr="00566101" w:rsidRDefault="00566101" w:rsidP="0056610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661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Substance misuse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8664" w14:textId="77777777" w:rsidR="00566101" w:rsidRPr="00566101" w:rsidRDefault="00566101" w:rsidP="005661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661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9567" w14:textId="77777777" w:rsidR="00566101" w:rsidRPr="00566101" w:rsidRDefault="00566101" w:rsidP="005661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661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59A0" w14:textId="77777777" w:rsidR="00566101" w:rsidRPr="00566101" w:rsidRDefault="00566101" w:rsidP="005661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661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94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145C" w14:textId="77777777" w:rsidR="00566101" w:rsidRPr="00566101" w:rsidRDefault="00566101" w:rsidP="005661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661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E0F7" w14:textId="77777777" w:rsidR="00566101" w:rsidRPr="00566101" w:rsidRDefault="00566101" w:rsidP="005661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661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51DF" w14:textId="77777777" w:rsidR="00566101" w:rsidRPr="00566101" w:rsidRDefault="00566101" w:rsidP="005661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5661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</w:tr>
      <w:tr w:rsidR="00566101" w:rsidRPr="00566101" w14:paraId="671636B9" w14:textId="77777777" w:rsidTr="00566101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F99C6F3" w14:textId="77777777" w:rsidR="00566101" w:rsidRPr="00566101" w:rsidRDefault="00566101" w:rsidP="00566101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6610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724646" w14:textId="77777777" w:rsidR="00566101" w:rsidRPr="00566101" w:rsidRDefault="00566101" w:rsidP="005661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6610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FEB7C8" w14:textId="77777777" w:rsidR="00566101" w:rsidRPr="00566101" w:rsidRDefault="00566101" w:rsidP="005661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6610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DD5105" w14:textId="77777777" w:rsidR="00566101" w:rsidRPr="00566101" w:rsidRDefault="00566101" w:rsidP="005661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6610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70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79ECBB" w14:textId="77777777" w:rsidR="00566101" w:rsidRPr="00566101" w:rsidRDefault="00566101" w:rsidP="005661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6610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7B9974" w14:textId="77777777" w:rsidR="00566101" w:rsidRPr="00566101" w:rsidRDefault="00566101" w:rsidP="005661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6610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BAB09B" w14:textId="77777777" w:rsidR="00566101" w:rsidRPr="00566101" w:rsidRDefault="00566101" w:rsidP="005661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6610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-2</w:t>
            </w:r>
          </w:p>
        </w:tc>
      </w:tr>
    </w:tbl>
    <w:p w14:paraId="1C064686" w14:textId="4EEF4CFE" w:rsidR="00566101" w:rsidRDefault="00566101" w:rsidP="007A35A7">
      <w:pPr>
        <w:rPr>
          <w:rFonts w:ascii="Arial" w:hAnsi="Arial" w:cs="Arial"/>
          <w:sz w:val="20"/>
          <w:szCs w:val="20"/>
        </w:rPr>
      </w:pPr>
    </w:p>
    <w:p w14:paraId="4D697A33" w14:textId="57E21BAE" w:rsidR="00566101" w:rsidRPr="00150C0F" w:rsidRDefault="00566101" w:rsidP="007A35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YTD over spend of £94K on the Substance misuse scheme is due to budget phasing, this is forecast to break even by the end of the year.</w:t>
      </w:r>
    </w:p>
    <w:sectPr w:rsidR="00566101" w:rsidRPr="00150C0F" w:rsidSect="00EA53C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567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3D696" w14:textId="77777777" w:rsidR="00B92FE0" w:rsidRDefault="00B92FE0" w:rsidP="007A35A7">
      <w:r>
        <w:separator/>
      </w:r>
    </w:p>
  </w:endnote>
  <w:endnote w:type="continuationSeparator" w:id="0">
    <w:p w14:paraId="63F48156" w14:textId="77777777" w:rsidR="00B92FE0" w:rsidRDefault="00B92FE0" w:rsidP="007A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13288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6520DE" w14:textId="467C37FB" w:rsidR="00FD18FF" w:rsidRDefault="00FD18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AEB511" w14:textId="77777777" w:rsidR="00FD18FF" w:rsidRDefault="00FD18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38006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EB8CAE" w14:textId="0F98D0D4" w:rsidR="00FD18FF" w:rsidRDefault="00FD18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188A5A" w14:textId="77777777" w:rsidR="00FD18FF" w:rsidRDefault="00FD1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77CC4" w14:textId="77777777" w:rsidR="00B92FE0" w:rsidRDefault="00B92FE0" w:rsidP="007A35A7">
      <w:r>
        <w:separator/>
      </w:r>
    </w:p>
  </w:footnote>
  <w:footnote w:type="continuationSeparator" w:id="0">
    <w:p w14:paraId="6B60EF60" w14:textId="77777777" w:rsidR="00B92FE0" w:rsidRDefault="00B92FE0" w:rsidP="007A3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E842" w14:textId="589F4FBD" w:rsidR="007A35A7" w:rsidRDefault="007A35A7" w:rsidP="007A35A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A9971" w14:textId="72C2EF4F" w:rsidR="00DB7724" w:rsidRDefault="00DB7724" w:rsidP="00DB7724">
    <w:pPr>
      <w:pStyle w:val="Header"/>
      <w:jc w:val="right"/>
    </w:pPr>
    <w:r w:rsidRPr="00765D2D">
      <w:rPr>
        <w:rFonts w:ascii="Arial" w:hAnsi="Arial" w:cs="Arial"/>
        <w:noProof/>
        <w:szCs w:val="24"/>
        <w:lang w:eastAsia="en-GB"/>
      </w:rPr>
      <w:drawing>
        <wp:inline distT="0" distB="0" distL="0" distR="0" wp14:anchorId="3B639EE3" wp14:editId="5F9B600F">
          <wp:extent cx="1556362" cy="546695"/>
          <wp:effectExtent l="0" t="0" r="6350" b="6350"/>
          <wp:docPr id="1" name="Picture 1" title="Logo of North East Lincolnshire Clinical Commissioning 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95" t="14782" r="7152" b="24957"/>
                  <a:stretch/>
                </pic:blipFill>
                <pic:spPr bwMode="auto">
                  <a:xfrm>
                    <a:off x="0" y="0"/>
                    <a:ext cx="1694066" cy="5950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3672877"/>
    <w:multiLevelType w:val="hybridMultilevel"/>
    <w:tmpl w:val="22269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A05AC"/>
    <w:multiLevelType w:val="hybridMultilevel"/>
    <w:tmpl w:val="70F4BF48"/>
    <w:lvl w:ilvl="0" w:tplc="688AE026">
      <w:numFmt w:val="bullet"/>
      <w:lvlText w:val="-"/>
      <w:lvlJc w:val="left"/>
      <w:pPr>
        <w:ind w:left="763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3" w15:restartNumberingAfterBreak="0">
    <w:nsid w:val="04EC0DD7"/>
    <w:multiLevelType w:val="hybridMultilevel"/>
    <w:tmpl w:val="4F3AE96A"/>
    <w:lvl w:ilvl="0" w:tplc="4ABA43C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87D4E03"/>
    <w:multiLevelType w:val="hybridMultilevel"/>
    <w:tmpl w:val="1B6E9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374719"/>
    <w:multiLevelType w:val="hybridMultilevel"/>
    <w:tmpl w:val="8BE2D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4500717"/>
    <w:multiLevelType w:val="hybridMultilevel"/>
    <w:tmpl w:val="3B662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77932F1"/>
    <w:multiLevelType w:val="hybridMultilevel"/>
    <w:tmpl w:val="FE1AE5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85C4502"/>
    <w:multiLevelType w:val="hybridMultilevel"/>
    <w:tmpl w:val="561CD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BD4DF2"/>
    <w:multiLevelType w:val="hybridMultilevel"/>
    <w:tmpl w:val="9B102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3033E91"/>
    <w:multiLevelType w:val="hybridMultilevel"/>
    <w:tmpl w:val="04467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BC0533"/>
    <w:multiLevelType w:val="hybridMultilevel"/>
    <w:tmpl w:val="B69E8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EE35F9"/>
    <w:multiLevelType w:val="hybridMultilevel"/>
    <w:tmpl w:val="997CD1AC"/>
    <w:lvl w:ilvl="0" w:tplc="688AE026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7955990"/>
    <w:multiLevelType w:val="hybridMultilevel"/>
    <w:tmpl w:val="7C009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6C250785"/>
    <w:multiLevelType w:val="hybridMultilevel"/>
    <w:tmpl w:val="5A5CD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8D08B9"/>
    <w:multiLevelType w:val="hybridMultilevel"/>
    <w:tmpl w:val="B7E2D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2"/>
  </w:num>
  <w:num w:numId="2">
    <w:abstractNumId w:val="17"/>
  </w:num>
  <w:num w:numId="3">
    <w:abstractNumId w:val="10"/>
  </w:num>
  <w:num w:numId="4">
    <w:abstractNumId w:val="35"/>
  </w:num>
  <w:num w:numId="5">
    <w:abstractNumId w:val="19"/>
  </w:num>
  <w:num w:numId="6">
    <w:abstractNumId w:val="28"/>
  </w:num>
  <w:num w:numId="7">
    <w:abstractNumId w:val="3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3"/>
  </w:num>
  <w:num w:numId="19">
    <w:abstractNumId w:val="24"/>
  </w:num>
  <w:num w:numId="20">
    <w:abstractNumId w:val="33"/>
  </w:num>
  <w:num w:numId="21">
    <w:abstractNumId w:val="29"/>
  </w:num>
  <w:num w:numId="22">
    <w:abstractNumId w:val="14"/>
  </w:num>
  <w:num w:numId="23">
    <w:abstractNumId w:val="37"/>
  </w:num>
  <w:num w:numId="24">
    <w:abstractNumId w:val="22"/>
  </w:num>
  <w:num w:numId="25">
    <w:abstractNumId w:val="26"/>
  </w:num>
  <w:num w:numId="26">
    <w:abstractNumId w:val="20"/>
  </w:num>
  <w:num w:numId="27">
    <w:abstractNumId w:val="34"/>
  </w:num>
  <w:num w:numId="28">
    <w:abstractNumId w:val="36"/>
  </w:num>
  <w:num w:numId="29">
    <w:abstractNumId w:val="18"/>
  </w:num>
  <w:num w:numId="30">
    <w:abstractNumId w:val="12"/>
  </w:num>
  <w:num w:numId="31">
    <w:abstractNumId w:val="11"/>
  </w:num>
  <w:num w:numId="32">
    <w:abstractNumId w:val="30"/>
  </w:num>
  <w:num w:numId="33">
    <w:abstractNumId w:val="21"/>
  </w:num>
  <w:num w:numId="34">
    <w:abstractNumId w:val="15"/>
  </w:num>
  <w:num w:numId="35">
    <w:abstractNumId w:val="13"/>
  </w:num>
  <w:num w:numId="36">
    <w:abstractNumId w:val="27"/>
  </w:num>
  <w:num w:numId="37">
    <w:abstractNumId w:val="25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5A7"/>
    <w:rsid w:val="00017200"/>
    <w:rsid w:val="000314D5"/>
    <w:rsid w:val="000339E6"/>
    <w:rsid w:val="00051277"/>
    <w:rsid w:val="000575C2"/>
    <w:rsid w:val="00066C19"/>
    <w:rsid w:val="000732DD"/>
    <w:rsid w:val="00092DFA"/>
    <w:rsid w:val="000949D1"/>
    <w:rsid w:val="000A0C49"/>
    <w:rsid w:val="000A14F6"/>
    <w:rsid w:val="000A6EBC"/>
    <w:rsid w:val="000D0D81"/>
    <w:rsid w:val="000D40E1"/>
    <w:rsid w:val="000D6DC8"/>
    <w:rsid w:val="000F3CAD"/>
    <w:rsid w:val="00105A15"/>
    <w:rsid w:val="00150C0F"/>
    <w:rsid w:val="001712C0"/>
    <w:rsid w:val="00177BC9"/>
    <w:rsid w:val="00183CCB"/>
    <w:rsid w:val="00193DA0"/>
    <w:rsid w:val="00196FAD"/>
    <w:rsid w:val="001A01F2"/>
    <w:rsid w:val="001A4F1F"/>
    <w:rsid w:val="001B2872"/>
    <w:rsid w:val="001B3090"/>
    <w:rsid w:val="001B757F"/>
    <w:rsid w:val="001C4447"/>
    <w:rsid w:val="001C551E"/>
    <w:rsid w:val="001F1A4D"/>
    <w:rsid w:val="00204AF6"/>
    <w:rsid w:val="00205F01"/>
    <w:rsid w:val="00231B6C"/>
    <w:rsid w:val="00256B26"/>
    <w:rsid w:val="00296818"/>
    <w:rsid w:val="002B6BC8"/>
    <w:rsid w:val="002B7673"/>
    <w:rsid w:val="002D4982"/>
    <w:rsid w:val="00301E85"/>
    <w:rsid w:val="003316FF"/>
    <w:rsid w:val="00334EE1"/>
    <w:rsid w:val="0034351C"/>
    <w:rsid w:val="003813E0"/>
    <w:rsid w:val="00384355"/>
    <w:rsid w:val="00390FEA"/>
    <w:rsid w:val="00392B55"/>
    <w:rsid w:val="003A4193"/>
    <w:rsid w:val="003D21AC"/>
    <w:rsid w:val="003D6DC5"/>
    <w:rsid w:val="003E0C53"/>
    <w:rsid w:val="003E7F02"/>
    <w:rsid w:val="003F1101"/>
    <w:rsid w:val="00447E1F"/>
    <w:rsid w:val="00451CCC"/>
    <w:rsid w:val="00452A03"/>
    <w:rsid w:val="004551EA"/>
    <w:rsid w:val="00465B88"/>
    <w:rsid w:val="00481002"/>
    <w:rsid w:val="00485586"/>
    <w:rsid w:val="00490B0A"/>
    <w:rsid w:val="004915F7"/>
    <w:rsid w:val="004B18B7"/>
    <w:rsid w:val="004D2880"/>
    <w:rsid w:val="004F22DE"/>
    <w:rsid w:val="004F38EA"/>
    <w:rsid w:val="00502440"/>
    <w:rsid w:val="005051F9"/>
    <w:rsid w:val="00511943"/>
    <w:rsid w:val="005151BF"/>
    <w:rsid w:val="00521113"/>
    <w:rsid w:val="005269D9"/>
    <w:rsid w:val="00535802"/>
    <w:rsid w:val="005643DE"/>
    <w:rsid w:val="00566101"/>
    <w:rsid w:val="00572B04"/>
    <w:rsid w:val="00594D06"/>
    <w:rsid w:val="005A7DEF"/>
    <w:rsid w:val="005C589E"/>
    <w:rsid w:val="005C77CC"/>
    <w:rsid w:val="0061279E"/>
    <w:rsid w:val="00613960"/>
    <w:rsid w:val="00613B09"/>
    <w:rsid w:val="00613CFD"/>
    <w:rsid w:val="00614C77"/>
    <w:rsid w:val="00621541"/>
    <w:rsid w:val="00622500"/>
    <w:rsid w:val="0063327E"/>
    <w:rsid w:val="00643CCE"/>
    <w:rsid w:val="00645252"/>
    <w:rsid w:val="006511A3"/>
    <w:rsid w:val="0067540C"/>
    <w:rsid w:val="0068756A"/>
    <w:rsid w:val="006941EE"/>
    <w:rsid w:val="006B05F8"/>
    <w:rsid w:val="006C65B9"/>
    <w:rsid w:val="006D3D74"/>
    <w:rsid w:val="00701C35"/>
    <w:rsid w:val="00707A2B"/>
    <w:rsid w:val="007139D0"/>
    <w:rsid w:val="00714D68"/>
    <w:rsid w:val="0071521B"/>
    <w:rsid w:val="007153AE"/>
    <w:rsid w:val="00725FB0"/>
    <w:rsid w:val="00727A02"/>
    <w:rsid w:val="00727CF8"/>
    <w:rsid w:val="0074202B"/>
    <w:rsid w:val="00761230"/>
    <w:rsid w:val="00765E74"/>
    <w:rsid w:val="0077046E"/>
    <w:rsid w:val="007866C2"/>
    <w:rsid w:val="007A35A7"/>
    <w:rsid w:val="007C33A2"/>
    <w:rsid w:val="007C4A60"/>
    <w:rsid w:val="007C6D38"/>
    <w:rsid w:val="0080189D"/>
    <w:rsid w:val="00805C57"/>
    <w:rsid w:val="008167A7"/>
    <w:rsid w:val="00826E17"/>
    <w:rsid w:val="00833C81"/>
    <w:rsid w:val="0083569A"/>
    <w:rsid w:val="00836F14"/>
    <w:rsid w:val="00852178"/>
    <w:rsid w:val="00857399"/>
    <w:rsid w:val="00883B8D"/>
    <w:rsid w:val="008910D6"/>
    <w:rsid w:val="008D00D2"/>
    <w:rsid w:val="008D584E"/>
    <w:rsid w:val="00903AC3"/>
    <w:rsid w:val="00943893"/>
    <w:rsid w:val="00953F75"/>
    <w:rsid w:val="00956204"/>
    <w:rsid w:val="00960945"/>
    <w:rsid w:val="00982BC3"/>
    <w:rsid w:val="00985504"/>
    <w:rsid w:val="00987905"/>
    <w:rsid w:val="00993DA6"/>
    <w:rsid w:val="009A4E82"/>
    <w:rsid w:val="009C20C9"/>
    <w:rsid w:val="009D2B9B"/>
    <w:rsid w:val="009E5725"/>
    <w:rsid w:val="00A23EF3"/>
    <w:rsid w:val="00A514D9"/>
    <w:rsid w:val="00A56AB6"/>
    <w:rsid w:val="00A612AD"/>
    <w:rsid w:val="00A62E63"/>
    <w:rsid w:val="00A64398"/>
    <w:rsid w:val="00A705A0"/>
    <w:rsid w:val="00A74FF7"/>
    <w:rsid w:val="00A9204E"/>
    <w:rsid w:val="00A93112"/>
    <w:rsid w:val="00A95427"/>
    <w:rsid w:val="00AD573E"/>
    <w:rsid w:val="00B321D7"/>
    <w:rsid w:val="00B46F16"/>
    <w:rsid w:val="00B624C4"/>
    <w:rsid w:val="00B84BE0"/>
    <w:rsid w:val="00B85815"/>
    <w:rsid w:val="00B86B77"/>
    <w:rsid w:val="00B92FE0"/>
    <w:rsid w:val="00B93897"/>
    <w:rsid w:val="00BA0DEA"/>
    <w:rsid w:val="00BA401F"/>
    <w:rsid w:val="00BA5D5A"/>
    <w:rsid w:val="00BB7DA8"/>
    <w:rsid w:val="00BC4566"/>
    <w:rsid w:val="00BD3CB7"/>
    <w:rsid w:val="00BE356C"/>
    <w:rsid w:val="00BE758E"/>
    <w:rsid w:val="00BF688D"/>
    <w:rsid w:val="00C0160E"/>
    <w:rsid w:val="00C120A6"/>
    <w:rsid w:val="00C31B72"/>
    <w:rsid w:val="00C51F00"/>
    <w:rsid w:val="00C6647A"/>
    <w:rsid w:val="00C70EB5"/>
    <w:rsid w:val="00C73FD3"/>
    <w:rsid w:val="00C869E7"/>
    <w:rsid w:val="00CD37DD"/>
    <w:rsid w:val="00CE1F32"/>
    <w:rsid w:val="00CE2815"/>
    <w:rsid w:val="00D00389"/>
    <w:rsid w:val="00D060B6"/>
    <w:rsid w:val="00D2057A"/>
    <w:rsid w:val="00D431DE"/>
    <w:rsid w:val="00D448E3"/>
    <w:rsid w:val="00D66FCE"/>
    <w:rsid w:val="00D7418C"/>
    <w:rsid w:val="00D85B7C"/>
    <w:rsid w:val="00D960C3"/>
    <w:rsid w:val="00DA0E1D"/>
    <w:rsid w:val="00DB4920"/>
    <w:rsid w:val="00DB6FBE"/>
    <w:rsid w:val="00DB7724"/>
    <w:rsid w:val="00DB7B4C"/>
    <w:rsid w:val="00DC4ED4"/>
    <w:rsid w:val="00DC534F"/>
    <w:rsid w:val="00DD416E"/>
    <w:rsid w:val="00DE79E3"/>
    <w:rsid w:val="00DF6A6E"/>
    <w:rsid w:val="00DF7875"/>
    <w:rsid w:val="00E076A9"/>
    <w:rsid w:val="00E22203"/>
    <w:rsid w:val="00E3588B"/>
    <w:rsid w:val="00E511D7"/>
    <w:rsid w:val="00E61471"/>
    <w:rsid w:val="00E623A6"/>
    <w:rsid w:val="00E6411E"/>
    <w:rsid w:val="00E654F1"/>
    <w:rsid w:val="00EA53C2"/>
    <w:rsid w:val="00EB1212"/>
    <w:rsid w:val="00EF5A01"/>
    <w:rsid w:val="00F05A1E"/>
    <w:rsid w:val="00F2530F"/>
    <w:rsid w:val="00F47E31"/>
    <w:rsid w:val="00F516B5"/>
    <w:rsid w:val="00F570A0"/>
    <w:rsid w:val="00F65ABE"/>
    <w:rsid w:val="00F869EB"/>
    <w:rsid w:val="00F9181E"/>
    <w:rsid w:val="00FB3009"/>
    <w:rsid w:val="00FD18FF"/>
    <w:rsid w:val="00FD68BC"/>
    <w:rsid w:val="00FE1860"/>
    <w:rsid w:val="00FF131A"/>
    <w:rsid w:val="00FF63C6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E6581"/>
  <w15:chartTrackingRefBased/>
  <w15:docId w15:val="{A5CEA282-C023-46BF-9767-E2726276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101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Default">
    <w:name w:val="Default"/>
    <w:rsid w:val="007A35A7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7A35A7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B86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B86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iJ5\AppData\Local\Microsoft\Office\16.0\DTS\en-US%7bBCB908DC-9128-4C9F-A409-C9AA144CD498%7d\%7b11CCCE69-B87D-444B-9824-7F1173814B1E%7dtf02786999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E3F1C1AFDB400C90EA33449E09A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BA692-FC63-4027-9206-95A12D9A857C}"/>
      </w:docPartPr>
      <w:docPartBody>
        <w:p w:rsidR="00A5572D" w:rsidRDefault="00757CB1" w:rsidP="00757CB1">
          <w:pPr>
            <w:pStyle w:val="C8E3F1C1AFDB400C90EA33449E09AFA6"/>
          </w:pPr>
          <w:r w:rsidRPr="00465B8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1713A34ABA3402595EFB98FF1974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D8411-F174-49AE-A1F7-24F0AEDCDAA4}"/>
      </w:docPartPr>
      <w:docPartBody>
        <w:p w:rsidR="00A5572D" w:rsidRDefault="00757CB1" w:rsidP="00757CB1">
          <w:pPr>
            <w:pStyle w:val="81713A34ABA3402595EFB98FF1974702"/>
          </w:pPr>
          <w:r w:rsidRPr="00465B88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7727D40B76644512A075B1DBB362B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A259F-0EA0-4754-8C62-CE1D1753FFFE}"/>
      </w:docPartPr>
      <w:docPartBody>
        <w:p w:rsidR="00A5572D" w:rsidRDefault="00757CB1" w:rsidP="00757CB1">
          <w:pPr>
            <w:pStyle w:val="7727D40B76644512A075B1DBB362B328"/>
          </w:pPr>
          <w:r w:rsidRPr="00465B88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B2BEDB5797074CA08F74570156FE8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F8FB0-57C5-4055-BFF4-C68EF2574BA5}"/>
      </w:docPartPr>
      <w:docPartBody>
        <w:p w:rsidR="00A5572D" w:rsidRDefault="00757CB1" w:rsidP="00757CB1">
          <w:pPr>
            <w:pStyle w:val="B2BEDB5797074CA08F74570156FE8720"/>
          </w:pPr>
          <w:r w:rsidRPr="00465B8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7DCC51E42DE48BEA42B869E4A8B0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6EFA3-EDD1-4272-8BA8-FA8A0E706AE8}"/>
      </w:docPartPr>
      <w:docPartBody>
        <w:p w:rsidR="00A5572D" w:rsidRDefault="00757CB1" w:rsidP="00757CB1">
          <w:pPr>
            <w:pStyle w:val="17DCC51E42DE48BEA42B869E4A8B032A"/>
          </w:pPr>
          <w:r w:rsidRPr="00465B8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067A05DCAA14B36AA4AA6B43430B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DAE6D-D4DB-4042-8D64-4F5A5D414E9A}"/>
      </w:docPartPr>
      <w:docPartBody>
        <w:p w:rsidR="00A5572D" w:rsidRDefault="00757CB1" w:rsidP="00757CB1">
          <w:pPr>
            <w:pStyle w:val="8067A05DCAA14B36AA4AA6B43430B3A4"/>
          </w:pPr>
          <w:r w:rsidRPr="00465B8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B1"/>
    <w:rsid w:val="0001164D"/>
    <w:rsid w:val="001A1BAE"/>
    <w:rsid w:val="003C444A"/>
    <w:rsid w:val="00476E05"/>
    <w:rsid w:val="005617F1"/>
    <w:rsid w:val="00757CB1"/>
    <w:rsid w:val="008C7EE9"/>
    <w:rsid w:val="00A5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7CB1"/>
    <w:rPr>
      <w:color w:val="3B3838" w:themeColor="background2" w:themeShade="40"/>
    </w:rPr>
  </w:style>
  <w:style w:type="paragraph" w:customStyle="1" w:styleId="C8E3F1C1AFDB400C90EA33449E09AFA6">
    <w:name w:val="C8E3F1C1AFDB400C90EA33449E09AFA6"/>
    <w:rsid w:val="00757CB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713A34ABA3402595EFB98FF1974702">
    <w:name w:val="81713A34ABA3402595EFB98FF1974702"/>
    <w:rsid w:val="00757CB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27D40B76644512A075B1DBB362B328">
    <w:name w:val="7727D40B76644512A075B1DBB362B328"/>
    <w:rsid w:val="00757CB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BEDB5797074CA08F74570156FE8720">
    <w:name w:val="B2BEDB5797074CA08F74570156FE8720"/>
    <w:rsid w:val="00757CB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7DCC51E42DE48BEA42B869E4A8B032A">
    <w:name w:val="17DCC51E42DE48BEA42B869E4A8B032A"/>
    <w:rsid w:val="00757CB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067A05DCAA14B36AA4AA6B43430B3A4">
    <w:name w:val="8067A05DCAA14B36AA4AA6B43430B3A4"/>
    <w:rsid w:val="00757CB1"/>
    <w:pPr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297CCD21-FE64-4DEF-823F-5296771D0A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{11CCCE69-B87D-444B-9824-7F1173814B1E}tf02786999_win32</Template>
  <TotalTime>670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Harris (CCG)</dc:creator>
  <cp:keywords/>
  <dc:description/>
  <cp:lastModifiedBy>Lezlie Treadgold (CCG)</cp:lastModifiedBy>
  <cp:revision>11</cp:revision>
  <dcterms:created xsi:type="dcterms:W3CDTF">2021-07-15T13:30:00Z</dcterms:created>
  <dcterms:modified xsi:type="dcterms:W3CDTF">2021-08-03T11:04:00Z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