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8ED1" w14:textId="15E4ADD6" w:rsidR="007A35A7" w:rsidRDefault="007A35A7" w:rsidP="007A35A7">
      <w:pPr>
        <w:rPr>
          <w:rFonts w:ascii="Arial" w:hAnsi="Arial" w:cs="Arial"/>
        </w:rPr>
      </w:pPr>
    </w:p>
    <w:p w14:paraId="00EDB048" w14:textId="2680B18E"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78752904"/>
          <w:placeholder>
            <w:docPart w:val="C8E3F1C1AFDB400C90EA33449E09AFA6"/>
          </w:placeholder>
          <w:text/>
        </w:sdtPr>
        <w:sdtEndPr/>
        <w:sdtContent>
          <w:r w:rsidR="00B42081" w:rsidRPr="00B42081">
            <w:rPr>
              <w:rFonts w:ascii="Arial" w:hAnsi="Arial" w:cs="Arial"/>
              <w:b/>
              <w:bCs/>
            </w:rPr>
            <w:t>Primary Care Commissioning Committee</w:t>
          </w:r>
        </w:sdtContent>
      </w:sdt>
    </w:p>
    <w:p w14:paraId="16DEF567" w14:textId="3C04CFA5"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8-10T00:00:00Z">
            <w:dateFormat w:val="dd/MM/yyyy"/>
            <w:lid w:val="en-GB"/>
            <w:storeMappedDataAs w:val="dateTime"/>
            <w:calendar w:val="gregorian"/>
          </w:date>
        </w:sdtPr>
        <w:sdtEndPr/>
        <w:sdtContent>
          <w:r w:rsidR="00373F12">
            <w:rPr>
              <w:rFonts w:ascii="Arial" w:hAnsi="Arial" w:cs="Arial"/>
              <w:b/>
              <w:bCs/>
            </w:rPr>
            <w:t>10/08/2021</w:t>
          </w:r>
        </w:sdtContent>
      </w:sdt>
    </w:p>
    <w:p w14:paraId="5693DC73" w14:textId="78366338"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0-08-03T00:00:00Z">
            <w:dateFormat w:val="dd/MM/yyyy"/>
            <w:lid w:val="en-GB"/>
            <w:storeMappedDataAs w:val="dateTime"/>
            <w:calendar w:val="gregorian"/>
          </w:date>
        </w:sdtPr>
        <w:sdtEndPr/>
        <w:sdtContent>
          <w:r w:rsidR="00373F12">
            <w:rPr>
              <w:rFonts w:ascii="Arial" w:hAnsi="Arial" w:cs="Arial"/>
              <w:b/>
              <w:bCs/>
            </w:rPr>
            <w:t>03/08/</w:t>
          </w:r>
          <w:r w:rsidR="00B42081">
            <w:rPr>
              <w:rFonts w:ascii="Arial" w:hAnsi="Arial" w:cs="Arial"/>
              <w:b/>
              <w:bCs/>
            </w:rPr>
            <w:t>2020</w:t>
          </w:r>
        </w:sdtContent>
      </w:sdt>
    </w:p>
    <w:p w14:paraId="559C3671" w14:textId="63174F05"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eastAsia="Arial" w:hAnsi="Arial" w:cs="Arial"/>
            <w:b/>
            <w:lang w:val="en-GB" w:eastAsia="en-GB" w:bidi="en-GB"/>
          </w:rPr>
          <w:id w:val="1217166332"/>
          <w:placeholder>
            <w:docPart w:val="B2BEDB5797074CA08F74570156FE8720"/>
          </w:placeholder>
          <w:text/>
        </w:sdtPr>
        <w:sdtEndPr/>
        <w:sdtContent>
          <w:r w:rsidR="00774BC4" w:rsidRPr="00774BC4">
            <w:rPr>
              <w:rFonts w:ascii="Arial" w:eastAsia="Arial" w:hAnsi="Arial" w:cs="Arial"/>
              <w:b/>
              <w:lang w:val="en-GB" w:eastAsia="en-GB" w:bidi="en-GB"/>
            </w:rPr>
            <w:t xml:space="preserve">GP Practice </w:t>
          </w:r>
          <w:r w:rsidR="003426F6">
            <w:rPr>
              <w:rFonts w:ascii="Arial" w:eastAsia="Arial" w:hAnsi="Arial" w:cs="Arial"/>
              <w:b/>
              <w:lang w:val="en-GB" w:eastAsia="en-GB" w:bidi="en-GB"/>
            </w:rPr>
            <w:t>E</w:t>
          </w:r>
          <w:r w:rsidR="00774BC4" w:rsidRPr="00774BC4">
            <w:rPr>
              <w:rFonts w:ascii="Arial" w:eastAsia="Arial" w:hAnsi="Arial" w:cs="Arial"/>
              <w:b/>
              <w:lang w:val="en-GB" w:eastAsia="en-GB" w:bidi="en-GB"/>
            </w:rPr>
            <w:t>lectronic Declaration (</w:t>
          </w:r>
          <w:proofErr w:type="spellStart"/>
          <w:r w:rsidR="00774BC4" w:rsidRPr="00774BC4">
            <w:rPr>
              <w:rFonts w:ascii="Arial" w:eastAsia="Arial" w:hAnsi="Arial" w:cs="Arial"/>
              <w:b/>
              <w:lang w:val="en-GB" w:eastAsia="en-GB" w:bidi="en-GB"/>
            </w:rPr>
            <w:t>eDec</w:t>
          </w:r>
          <w:proofErr w:type="spellEnd"/>
          <w:r w:rsidR="00774BC4" w:rsidRPr="00774BC4">
            <w:rPr>
              <w:rFonts w:ascii="Arial" w:eastAsia="Arial" w:hAnsi="Arial" w:cs="Arial"/>
              <w:b/>
              <w:lang w:val="en-GB" w:eastAsia="en-GB" w:bidi="en-GB"/>
            </w:rPr>
            <w:t>)report</w:t>
          </w:r>
        </w:sdtContent>
      </w:sdt>
    </w:p>
    <w:p w14:paraId="69070772" w14:textId="1EEE7FF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316D75">
            <w:rPr>
              <w:rFonts w:ascii="Arial" w:hAnsi="Arial" w:cs="Arial"/>
              <w:b/>
              <w:bCs/>
            </w:rPr>
            <w:t xml:space="preserve">Rachel </w:t>
          </w:r>
          <w:proofErr w:type="spellStart"/>
          <w:r w:rsidR="00316D75">
            <w:rPr>
              <w:rFonts w:ascii="Arial" w:hAnsi="Arial" w:cs="Arial"/>
              <w:b/>
              <w:bCs/>
            </w:rPr>
            <w:t>Barrowcliff</w:t>
          </w:r>
          <w:proofErr w:type="spellEnd"/>
        </w:sdtContent>
      </w:sdt>
    </w:p>
    <w:p w14:paraId="50602481" w14:textId="24DDAD21"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373F12">
            <w:rPr>
              <w:rFonts w:ascii="Arial" w:hAnsi="Arial" w:cs="Arial"/>
              <w:b/>
              <w:bCs/>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204AE766"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3426F6">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1C0E351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3426F6">
                                  <w:rPr>
                                    <w:rFonts w:ascii="MS Gothic" w:eastAsia="MS Gothic" w:hAnsi="MS Gothic" w:cstheme="minorHAnsi" w:hint="eastAsia"/>
                                  </w:rPr>
                                  <w:t>☐</w:t>
                                </w:r>
                              </w:sdtContent>
                            </w:sdt>
                          </w:p>
                          <w:p w14:paraId="0E98AE76" w14:textId="3CFD69DB"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316D7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204AE766"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3426F6">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1C0E351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3426F6">
                            <w:rPr>
                              <w:rFonts w:ascii="MS Gothic" w:eastAsia="MS Gothic" w:hAnsi="MS Gothic" w:cstheme="minorHAnsi" w:hint="eastAsia"/>
                            </w:rPr>
                            <w:t>☐</w:t>
                          </w:r>
                        </w:sdtContent>
                      </w:sdt>
                    </w:p>
                    <w:p w14:paraId="0E98AE76" w14:textId="3CFD69DB"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316D7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6B38820C" w:rsidR="003F1101" w:rsidRPr="00B42081" w:rsidRDefault="00B42081" w:rsidP="003F1101">
            <w:pPr>
              <w:pStyle w:val="Default"/>
              <w:jc w:val="both"/>
              <w:rPr>
                <w:sz w:val="22"/>
                <w:szCs w:val="22"/>
              </w:rPr>
            </w:pPr>
            <w:r w:rsidRPr="00B42081">
              <w:rPr>
                <w:sz w:val="22"/>
                <w:szCs w:val="22"/>
              </w:rPr>
              <w:t xml:space="preserve">To </w:t>
            </w:r>
            <w:r w:rsidR="00316D75">
              <w:rPr>
                <w:sz w:val="22"/>
                <w:szCs w:val="22"/>
              </w:rPr>
              <w:t xml:space="preserve">update </w:t>
            </w:r>
            <w:r w:rsidRPr="00B42081">
              <w:rPr>
                <w:sz w:val="22"/>
                <w:szCs w:val="22"/>
              </w:rPr>
              <w:t>the committee of the actions taken regarding the review of the GP Practice Electronic Declaration(</w:t>
            </w:r>
            <w:proofErr w:type="spellStart"/>
            <w:r w:rsidRPr="00B42081">
              <w:rPr>
                <w:sz w:val="22"/>
                <w:szCs w:val="22"/>
              </w:rPr>
              <w:t>eDec</w:t>
            </w:r>
            <w:proofErr w:type="spellEnd"/>
            <w:r w:rsidRPr="00B42081">
              <w:rPr>
                <w:sz w:val="22"/>
                <w:szCs w:val="22"/>
              </w:rPr>
              <w:t>) report for 20</w:t>
            </w:r>
            <w:r w:rsidR="00373F12">
              <w:rPr>
                <w:sz w:val="22"/>
                <w:szCs w:val="22"/>
              </w:rPr>
              <w:t>20/21</w:t>
            </w:r>
            <w:r w:rsidRPr="00B42081">
              <w:rPr>
                <w:sz w:val="22"/>
                <w:szCs w:val="22"/>
              </w:rPr>
              <w:t>.</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ACA60AC" w14:textId="6EAB3159" w:rsidR="00B42081" w:rsidRPr="00774BC4" w:rsidRDefault="00B42081" w:rsidP="00B42081">
            <w:pPr>
              <w:widowControl w:val="0"/>
              <w:tabs>
                <w:tab w:val="left" w:pos="460"/>
                <w:tab w:val="left" w:pos="461"/>
              </w:tabs>
              <w:autoSpaceDE w:val="0"/>
              <w:autoSpaceDN w:val="0"/>
              <w:rPr>
                <w:rFonts w:ascii="Arial" w:eastAsia="Arial" w:hAnsi="Arial" w:cs="Arial"/>
                <w:lang w:val="en-GB" w:eastAsia="en-GB" w:bidi="en-GB"/>
              </w:rPr>
            </w:pPr>
            <w:r>
              <w:rPr>
                <w:rFonts w:ascii="Arial" w:eastAsia="Arial" w:hAnsi="Arial" w:cs="Arial"/>
                <w:lang w:val="en-GB" w:eastAsia="en-GB" w:bidi="en-GB"/>
              </w:rPr>
              <w:t>To r</w:t>
            </w:r>
            <w:r w:rsidRPr="00774BC4">
              <w:rPr>
                <w:rFonts w:ascii="Arial" w:eastAsia="Arial" w:hAnsi="Arial" w:cs="Arial"/>
                <w:lang w:val="en-GB" w:eastAsia="en-GB" w:bidi="en-GB"/>
              </w:rPr>
              <w:t xml:space="preserve">eceive </w:t>
            </w:r>
            <w:r w:rsidR="00316D75">
              <w:rPr>
                <w:rFonts w:ascii="Arial" w:eastAsia="Arial" w:hAnsi="Arial" w:cs="Arial"/>
                <w:lang w:val="en-GB" w:eastAsia="en-GB" w:bidi="en-GB"/>
              </w:rPr>
              <w:t xml:space="preserve">and note this </w:t>
            </w:r>
            <w:r w:rsidRPr="00774BC4">
              <w:rPr>
                <w:rFonts w:ascii="Arial" w:eastAsia="Arial" w:hAnsi="Arial" w:cs="Arial"/>
                <w:lang w:val="en-GB" w:eastAsia="en-GB" w:bidi="en-GB"/>
              </w:rPr>
              <w:t xml:space="preserve">update </w:t>
            </w:r>
            <w:r w:rsidR="00316D75">
              <w:rPr>
                <w:rFonts w:ascii="Arial" w:eastAsia="Arial" w:hAnsi="Arial" w:cs="Arial"/>
                <w:lang w:val="en-GB" w:eastAsia="en-GB" w:bidi="en-GB"/>
              </w:rPr>
              <w:t xml:space="preserve">regarding the review and subsequent </w:t>
            </w:r>
            <w:r w:rsidRPr="00774BC4">
              <w:rPr>
                <w:rFonts w:ascii="Arial" w:eastAsia="Arial" w:hAnsi="Arial" w:cs="Arial"/>
                <w:lang w:val="en-GB" w:eastAsia="en-GB" w:bidi="en-GB"/>
              </w:rPr>
              <w:t>actions taken by the CCG.</w:t>
            </w:r>
          </w:p>
          <w:p w14:paraId="66B92889" w14:textId="1070BB13" w:rsidR="003F1101" w:rsidRPr="003F1101" w:rsidRDefault="003F1101" w:rsidP="003F1101">
            <w:pPr>
              <w:pStyle w:val="Default"/>
              <w:jc w:val="both"/>
              <w:rPr>
                <w:b/>
                <w:bCs/>
                <w:sz w:val="22"/>
                <w:szCs w:val="22"/>
              </w:rPr>
            </w:pP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4F83CCFE" w:rsidR="003F1101" w:rsidRPr="003F1101" w:rsidRDefault="00B42081" w:rsidP="003F1101">
            <w:pPr>
              <w:pStyle w:val="Default"/>
              <w:jc w:val="both"/>
              <w:rPr>
                <w:bCs/>
                <w:color w:val="auto"/>
                <w:sz w:val="22"/>
                <w:szCs w:val="22"/>
              </w:rPr>
            </w:pPr>
            <w:r>
              <w:rPr>
                <w:bCs/>
                <w:color w:val="auto"/>
                <w:sz w:val="22"/>
                <w:szCs w:val="22"/>
              </w:rPr>
              <w:t>Not applicable</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44A14DB0" w:rsidR="003F1101" w:rsidRPr="003F1101" w:rsidRDefault="00B42081" w:rsidP="003F1101">
            <w:pPr>
              <w:pStyle w:val="Default"/>
              <w:jc w:val="both"/>
              <w:rPr>
                <w:bCs/>
                <w:color w:val="auto"/>
                <w:sz w:val="22"/>
                <w:szCs w:val="22"/>
              </w:rPr>
            </w:pPr>
            <w:r>
              <w:rPr>
                <w:bCs/>
                <w:color w:val="auto"/>
                <w:sz w:val="22"/>
                <w:szCs w:val="22"/>
              </w:rPr>
              <w:t>Not applicable</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2E7CDC97" w:rsidR="003F1101" w:rsidRPr="00B42081" w:rsidRDefault="00373F12" w:rsidP="003F1101">
            <w:pPr>
              <w:pStyle w:val="Default"/>
              <w:jc w:val="both"/>
              <w:rPr>
                <w:sz w:val="22"/>
                <w:szCs w:val="22"/>
              </w:rPr>
            </w:pPr>
            <w:r>
              <w:rPr>
                <w:bCs/>
                <w:sz w:val="22"/>
                <w:szCs w:val="22"/>
              </w:rPr>
              <w:t>Not applicable</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2BC89457" w:rsidR="001712C0" w:rsidRDefault="00B42081"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3FC1D2B2" w:rsidR="00DE79E3" w:rsidRPr="001712C0" w:rsidRDefault="00B42081"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B42081">
        <w:trPr>
          <w:trHeight w:val="853"/>
        </w:trPr>
        <w:tc>
          <w:tcPr>
            <w:tcW w:w="11096" w:type="dxa"/>
          </w:tcPr>
          <w:p w14:paraId="6E3AD551" w14:textId="77777777" w:rsidR="00B42081" w:rsidRDefault="00B42081" w:rsidP="007A35A7">
            <w:pPr>
              <w:rPr>
                <w:rFonts w:ascii="Arial" w:hAnsi="Arial" w:cs="Arial"/>
              </w:rPr>
            </w:pPr>
          </w:p>
          <w:p w14:paraId="77EA44A3" w14:textId="2E28CC85" w:rsidR="00B42081" w:rsidRDefault="00B42081" w:rsidP="007A35A7">
            <w:pPr>
              <w:rPr>
                <w:rFonts w:ascii="Arial" w:hAnsi="Arial" w:cs="Arial"/>
              </w:rPr>
            </w:pPr>
            <w:r>
              <w:rPr>
                <w:rFonts w:ascii="Arial" w:hAnsi="Arial" w:cs="Arial"/>
              </w:rPr>
              <w:t>None identified</w:t>
            </w:r>
          </w:p>
          <w:p w14:paraId="5C1E022B" w14:textId="77777777" w:rsidR="00B42081" w:rsidRDefault="00B42081" w:rsidP="007A35A7">
            <w:pPr>
              <w:rPr>
                <w:rFonts w:ascii="Arial" w:hAnsi="Arial" w:cs="Arial"/>
              </w:rPr>
            </w:pPr>
          </w:p>
          <w:p w14:paraId="479CCDEB" w14:textId="3805D201" w:rsidR="00B42081" w:rsidRDefault="00B42081" w:rsidP="007A35A7">
            <w:pPr>
              <w:rPr>
                <w:rFonts w:ascii="Arial" w:hAnsi="Arial" w:cs="Arial"/>
              </w:rPr>
            </w:pPr>
          </w:p>
          <w:p w14:paraId="525642EF" w14:textId="77777777" w:rsidR="00EC0962" w:rsidRDefault="00EC0962" w:rsidP="007A35A7">
            <w:pPr>
              <w:rPr>
                <w:rFonts w:ascii="Arial" w:hAnsi="Arial" w:cs="Arial"/>
              </w:rPr>
            </w:pPr>
          </w:p>
          <w:p w14:paraId="316F177F" w14:textId="06460790" w:rsidR="00B42081" w:rsidRDefault="00B42081" w:rsidP="007A35A7">
            <w:pPr>
              <w:rPr>
                <w:rFonts w:ascii="Arial" w:hAnsi="Arial" w:cs="Arial"/>
              </w:rPr>
            </w:pPr>
          </w:p>
        </w:tc>
      </w:tr>
    </w:tbl>
    <w:p w14:paraId="1EAB9591" w14:textId="77BEE52D" w:rsidR="00CB5570" w:rsidRDefault="00CB5570" w:rsidP="007A35A7">
      <w:pPr>
        <w:rPr>
          <w:rFonts w:ascii="Arial" w:hAnsi="Arial" w:cs="Arial"/>
          <w:b/>
          <w:bCs/>
        </w:rPr>
      </w:pPr>
    </w:p>
    <w:p w14:paraId="716ADBEB" w14:textId="4B064B0C" w:rsidR="00823C55" w:rsidRDefault="00823C55" w:rsidP="007A35A7">
      <w:pPr>
        <w:rPr>
          <w:rFonts w:ascii="Arial" w:hAnsi="Arial" w:cs="Arial"/>
          <w:b/>
          <w:bCs/>
        </w:rPr>
      </w:pPr>
    </w:p>
    <w:p w14:paraId="4B79ED84" w14:textId="4958402D" w:rsidR="00D106D7" w:rsidRDefault="00D106D7" w:rsidP="007A35A7">
      <w:pPr>
        <w:rPr>
          <w:rFonts w:ascii="Arial" w:hAnsi="Arial" w:cs="Arial"/>
          <w:b/>
          <w:bCs/>
        </w:rPr>
      </w:pPr>
      <w:r>
        <w:rPr>
          <w:rFonts w:ascii="Arial" w:hAnsi="Arial" w:cs="Arial"/>
          <w:b/>
          <w:bCs/>
        </w:rPr>
        <w:lastRenderedPageBreak/>
        <w:t>Executive summary:</w:t>
      </w:r>
    </w:p>
    <w:p w14:paraId="59A2CA40" w14:textId="77777777" w:rsidR="00D106D7" w:rsidRDefault="00D106D7" w:rsidP="007A35A7">
      <w:pPr>
        <w:rPr>
          <w:rFonts w:ascii="Arial" w:hAnsi="Arial" w:cs="Arial"/>
          <w:b/>
          <w:bCs/>
        </w:rPr>
      </w:pPr>
    </w:p>
    <w:p w14:paraId="31B30BB0" w14:textId="77777777" w:rsidR="00823C55" w:rsidRPr="00D106D7" w:rsidRDefault="00823C55" w:rsidP="00D106D7">
      <w:pPr>
        <w:rPr>
          <w:rFonts w:ascii="Arial" w:hAnsi="Arial" w:cs="Arial"/>
          <w:b/>
          <w:bCs/>
        </w:rPr>
      </w:pPr>
      <w:r w:rsidRPr="00D106D7">
        <w:rPr>
          <w:rFonts w:ascii="Arial" w:hAnsi="Arial" w:cs="Arial"/>
          <w:b/>
          <w:bCs/>
        </w:rPr>
        <w:t>Document purpose</w:t>
      </w:r>
    </w:p>
    <w:p w14:paraId="3CD42B97" w14:textId="77777777" w:rsidR="00823C55" w:rsidRPr="00D106D7" w:rsidRDefault="00823C55" w:rsidP="00D106D7">
      <w:pPr>
        <w:rPr>
          <w:rFonts w:ascii="Arial" w:hAnsi="Arial" w:cs="Arial"/>
        </w:rPr>
      </w:pPr>
    </w:p>
    <w:p w14:paraId="329912BA" w14:textId="77777777" w:rsidR="00823C55" w:rsidRPr="00D106D7" w:rsidRDefault="00823C55" w:rsidP="008B0C22">
      <w:pPr>
        <w:jc w:val="both"/>
        <w:rPr>
          <w:rFonts w:ascii="Arial" w:hAnsi="Arial" w:cs="Arial"/>
        </w:rPr>
      </w:pPr>
      <w:r w:rsidRPr="00D106D7">
        <w:rPr>
          <w:rFonts w:ascii="Arial" w:hAnsi="Arial" w:cs="Arial"/>
        </w:rPr>
        <w:t xml:space="preserve">This document </w:t>
      </w:r>
      <w:proofErr w:type="spellStart"/>
      <w:r w:rsidRPr="00D106D7">
        <w:rPr>
          <w:rFonts w:ascii="Arial" w:hAnsi="Arial" w:cs="Arial"/>
        </w:rPr>
        <w:t>summarises</w:t>
      </w:r>
      <w:proofErr w:type="spellEnd"/>
      <w:r w:rsidRPr="00D106D7">
        <w:rPr>
          <w:rFonts w:ascii="Arial" w:hAnsi="Arial" w:cs="Arial"/>
        </w:rPr>
        <w:t xml:space="preserve"> the contents of the self-declaration completed by each practice in 2020/21. It provides assurance to the Committee on a range of markers that demonstrates practice adherence to </w:t>
      </w:r>
      <w:proofErr w:type="gramStart"/>
      <w:r w:rsidRPr="00D106D7">
        <w:rPr>
          <w:rFonts w:ascii="Arial" w:hAnsi="Arial" w:cs="Arial"/>
        </w:rPr>
        <w:t>a number of</w:t>
      </w:r>
      <w:proofErr w:type="gramEnd"/>
      <w:r w:rsidRPr="00D106D7">
        <w:rPr>
          <w:rFonts w:ascii="Arial" w:hAnsi="Arial" w:cs="Arial"/>
        </w:rPr>
        <w:t xml:space="preserve"> contractual requirements. </w:t>
      </w:r>
    </w:p>
    <w:p w14:paraId="37A822CA" w14:textId="77777777" w:rsidR="00D106D7" w:rsidRDefault="00D106D7" w:rsidP="008B0C22">
      <w:pPr>
        <w:jc w:val="both"/>
        <w:rPr>
          <w:rFonts w:ascii="Arial" w:hAnsi="Arial" w:cs="Arial"/>
        </w:rPr>
      </w:pPr>
    </w:p>
    <w:p w14:paraId="35703F5D" w14:textId="6D1E1F6A" w:rsidR="00823C55" w:rsidRPr="00D106D7" w:rsidRDefault="00823C55" w:rsidP="00D106D7">
      <w:pPr>
        <w:rPr>
          <w:rFonts w:ascii="Arial" w:hAnsi="Arial" w:cs="Arial"/>
          <w:b/>
          <w:bCs/>
        </w:rPr>
      </w:pPr>
      <w:r w:rsidRPr="00D106D7">
        <w:rPr>
          <w:rFonts w:ascii="Arial" w:hAnsi="Arial" w:cs="Arial"/>
          <w:b/>
          <w:bCs/>
        </w:rPr>
        <w:t>Context</w:t>
      </w:r>
    </w:p>
    <w:p w14:paraId="2E3BABCD" w14:textId="77777777" w:rsidR="00823C55" w:rsidRPr="00D106D7" w:rsidRDefault="00823C55" w:rsidP="00D106D7">
      <w:pPr>
        <w:rPr>
          <w:rFonts w:ascii="Arial" w:hAnsi="Arial" w:cs="Arial"/>
        </w:rPr>
      </w:pPr>
    </w:p>
    <w:p w14:paraId="423AA938" w14:textId="77777777" w:rsidR="00823C55" w:rsidRPr="00D106D7" w:rsidRDefault="00823C55" w:rsidP="008B0C22">
      <w:pPr>
        <w:jc w:val="both"/>
        <w:rPr>
          <w:rFonts w:ascii="Arial" w:hAnsi="Arial" w:cs="Arial"/>
        </w:rPr>
      </w:pPr>
      <w:r w:rsidRPr="00D106D7">
        <w:rPr>
          <w:rFonts w:ascii="Arial" w:hAnsi="Arial" w:cs="Arial"/>
        </w:rPr>
        <w:t>In accordance with NHS England’s Primary Medical Care Policy and Guidance Handbook (PGM) commissioners of Primary Medical Care are responsible for the quality, safety and performance of services delivered by providers, within their area of responsibility. Commissioners have a statutory duty to conduct a routine annual review of every primary care medical contract it holds. This is covered through the annual GP practice self-declaration (</w:t>
      </w:r>
      <w:proofErr w:type="spellStart"/>
      <w:r w:rsidRPr="00D106D7">
        <w:rPr>
          <w:rFonts w:ascii="Arial" w:hAnsi="Arial" w:cs="Arial"/>
        </w:rPr>
        <w:t>eDec</w:t>
      </w:r>
      <w:proofErr w:type="spellEnd"/>
      <w:r w:rsidRPr="00D106D7">
        <w:rPr>
          <w:rFonts w:ascii="Arial" w:hAnsi="Arial" w:cs="Arial"/>
        </w:rPr>
        <w:t xml:space="preserve">) collection which NHS England and NHS Improvement (NHSE/I) has established. In </w:t>
      </w:r>
      <w:proofErr w:type="gramStart"/>
      <w:r w:rsidRPr="00D106D7">
        <w:rPr>
          <w:rFonts w:ascii="Arial" w:hAnsi="Arial" w:cs="Arial"/>
        </w:rPr>
        <w:t>North East</w:t>
      </w:r>
      <w:proofErr w:type="gramEnd"/>
      <w:r w:rsidRPr="00D106D7">
        <w:rPr>
          <w:rFonts w:ascii="Arial" w:hAnsi="Arial" w:cs="Arial"/>
        </w:rPr>
        <w:t xml:space="preserve"> Lincolnshire, this has been undertaken directly by NHSE/I local team on behalf and with the support of the CCG through the delegation agreement.</w:t>
      </w:r>
    </w:p>
    <w:p w14:paraId="500DBD20" w14:textId="77777777" w:rsidR="008B0C22" w:rsidRDefault="008B0C22" w:rsidP="00D106D7">
      <w:pPr>
        <w:rPr>
          <w:rFonts w:ascii="Arial" w:hAnsi="Arial" w:cs="Arial"/>
        </w:rPr>
      </w:pPr>
    </w:p>
    <w:p w14:paraId="5F7AA9B3" w14:textId="56FA0139" w:rsidR="00823C55" w:rsidRPr="008B0C22" w:rsidRDefault="00823C55" w:rsidP="00D106D7">
      <w:pPr>
        <w:rPr>
          <w:rFonts w:ascii="Arial" w:hAnsi="Arial" w:cs="Arial"/>
          <w:b/>
          <w:bCs/>
        </w:rPr>
      </w:pPr>
      <w:r w:rsidRPr="008B0C22">
        <w:rPr>
          <w:rFonts w:ascii="Arial" w:hAnsi="Arial" w:cs="Arial"/>
          <w:b/>
          <w:bCs/>
        </w:rPr>
        <w:t>Background</w:t>
      </w:r>
    </w:p>
    <w:p w14:paraId="7FCD287E" w14:textId="77777777" w:rsidR="00823C55" w:rsidRPr="00D106D7" w:rsidRDefault="00823C55" w:rsidP="00D106D7">
      <w:pPr>
        <w:rPr>
          <w:rFonts w:ascii="Arial" w:hAnsi="Arial" w:cs="Arial"/>
        </w:rPr>
      </w:pPr>
    </w:p>
    <w:p w14:paraId="7C975C43" w14:textId="77777777" w:rsidR="00823C55" w:rsidRPr="00D106D7" w:rsidRDefault="00823C55" w:rsidP="00D106D7">
      <w:pPr>
        <w:rPr>
          <w:rFonts w:ascii="Arial" w:hAnsi="Arial" w:cs="Arial"/>
        </w:rPr>
      </w:pPr>
      <w:r w:rsidRPr="00D106D7">
        <w:rPr>
          <w:rFonts w:ascii="Arial" w:hAnsi="Arial" w:cs="Arial"/>
        </w:rPr>
        <w:t xml:space="preserve">The annual </w:t>
      </w:r>
      <w:proofErr w:type="spellStart"/>
      <w:r w:rsidRPr="00D106D7">
        <w:rPr>
          <w:rFonts w:ascii="Arial" w:hAnsi="Arial" w:cs="Arial"/>
        </w:rPr>
        <w:t>eDec</w:t>
      </w:r>
      <w:proofErr w:type="spellEnd"/>
      <w:r w:rsidRPr="00D106D7">
        <w:rPr>
          <w:rFonts w:ascii="Arial" w:hAnsi="Arial" w:cs="Arial"/>
        </w:rPr>
        <w:t xml:space="preserve"> mandatory data collection was first introduced to practices in April 2013. Information is collected is eight </w:t>
      </w:r>
      <w:proofErr w:type="gramStart"/>
      <w:r w:rsidRPr="00D106D7">
        <w:rPr>
          <w:rFonts w:ascii="Arial" w:hAnsi="Arial" w:cs="Arial"/>
        </w:rPr>
        <w:t>categories:-</w:t>
      </w:r>
      <w:proofErr w:type="gramEnd"/>
    </w:p>
    <w:p w14:paraId="55BB6528" w14:textId="77777777" w:rsidR="00823C55" w:rsidRPr="008B0C22" w:rsidRDefault="00823C55" w:rsidP="008B0C22">
      <w:pPr>
        <w:pStyle w:val="ListParagraph"/>
        <w:numPr>
          <w:ilvl w:val="0"/>
          <w:numId w:val="33"/>
        </w:numPr>
        <w:rPr>
          <w:rFonts w:ascii="Arial" w:hAnsi="Arial" w:cs="Arial"/>
        </w:rPr>
      </w:pPr>
      <w:r w:rsidRPr="008B0C22">
        <w:rPr>
          <w:rFonts w:ascii="Arial" w:hAnsi="Arial" w:cs="Arial"/>
        </w:rPr>
        <w:t>Practice details</w:t>
      </w:r>
    </w:p>
    <w:p w14:paraId="1124A240" w14:textId="77777777" w:rsidR="00823C55" w:rsidRPr="008B0C22" w:rsidRDefault="00823C55" w:rsidP="008B0C22">
      <w:pPr>
        <w:pStyle w:val="ListParagraph"/>
        <w:numPr>
          <w:ilvl w:val="0"/>
          <w:numId w:val="33"/>
        </w:numPr>
        <w:rPr>
          <w:rFonts w:ascii="Arial" w:hAnsi="Arial" w:cs="Arial"/>
        </w:rPr>
      </w:pPr>
      <w:r w:rsidRPr="008B0C22">
        <w:rPr>
          <w:rFonts w:ascii="Arial" w:hAnsi="Arial" w:cs="Arial"/>
        </w:rPr>
        <w:t>Practice staff</w:t>
      </w:r>
    </w:p>
    <w:p w14:paraId="4571283F" w14:textId="77777777" w:rsidR="00823C55" w:rsidRPr="008B0C22" w:rsidRDefault="00823C55" w:rsidP="008B0C22">
      <w:pPr>
        <w:pStyle w:val="ListParagraph"/>
        <w:numPr>
          <w:ilvl w:val="0"/>
          <w:numId w:val="33"/>
        </w:numPr>
        <w:rPr>
          <w:rFonts w:ascii="Arial" w:hAnsi="Arial" w:cs="Arial"/>
        </w:rPr>
      </w:pPr>
      <w:r w:rsidRPr="008B0C22">
        <w:rPr>
          <w:rFonts w:ascii="Arial" w:hAnsi="Arial" w:cs="Arial"/>
        </w:rPr>
        <w:t>Practice premises and equipment</w:t>
      </w:r>
    </w:p>
    <w:p w14:paraId="2121DF2B" w14:textId="77777777" w:rsidR="00823C55" w:rsidRPr="008B0C22" w:rsidRDefault="00823C55" w:rsidP="008B0C22">
      <w:pPr>
        <w:pStyle w:val="ListParagraph"/>
        <w:numPr>
          <w:ilvl w:val="0"/>
          <w:numId w:val="33"/>
        </w:numPr>
        <w:rPr>
          <w:rFonts w:ascii="Arial" w:hAnsi="Arial" w:cs="Arial"/>
        </w:rPr>
      </w:pPr>
      <w:r w:rsidRPr="008B0C22">
        <w:rPr>
          <w:rFonts w:ascii="Arial" w:hAnsi="Arial" w:cs="Arial"/>
        </w:rPr>
        <w:t>Practice services</w:t>
      </w:r>
    </w:p>
    <w:p w14:paraId="2B7B25C7" w14:textId="77777777" w:rsidR="00823C55" w:rsidRPr="008B0C22" w:rsidRDefault="00823C55" w:rsidP="008B0C22">
      <w:pPr>
        <w:pStyle w:val="ListParagraph"/>
        <w:numPr>
          <w:ilvl w:val="0"/>
          <w:numId w:val="33"/>
        </w:numPr>
        <w:rPr>
          <w:rFonts w:ascii="Arial" w:hAnsi="Arial" w:cs="Arial"/>
        </w:rPr>
      </w:pPr>
      <w:r w:rsidRPr="008B0C22">
        <w:rPr>
          <w:rFonts w:ascii="Arial" w:hAnsi="Arial" w:cs="Arial"/>
        </w:rPr>
        <w:t>Information about the practice and its procedures</w:t>
      </w:r>
    </w:p>
    <w:p w14:paraId="2E64FCC4" w14:textId="77777777" w:rsidR="00823C55" w:rsidRPr="008B0C22" w:rsidRDefault="00823C55" w:rsidP="008B0C22">
      <w:pPr>
        <w:pStyle w:val="ListParagraph"/>
        <w:numPr>
          <w:ilvl w:val="0"/>
          <w:numId w:val="33"/>
        </w:numPr>
        <w:rPr>
          <w:rFonts w:ascii="Arial" w:hAnsi="Arial" w:cs="Arial"/>
        </w:rPr>
      </w:pPr>
      <w:r w:rsidRPr="008B0C22">
        <w:rPr>
          <w:rFonts w:ascii="Arial" w:hAnsi="Arial" w:cs="Arial"/>
        </w:rPr>
        <w:t>Governance</w:t>
      </w:r>
    </w:p>
    <w:p w14:paraId="7341AAE4" w14:textId="77777777" w:rsidR="00823C55" w:rsidRPr="008B0C22" w:rsidRDefault="00823C55" w:rsidP="008B0C22">
      <w:pPr>
        <w:pStyle w:val="ListParagraph"/>
        <w:numPr>
          <w:ilvl w:val="0"/>
          <w:numId w:val="33"/>
        </w:numPr>
        <w:rPr>
          <w:rFonts w:ascii="Arial" w:hAnsi="Arial" w:cs="Arial"/>
        </w:rPr>
      </w:pPr>
      <w:r w:rsidRPr="008B0C22">
        <w:rPr>
          <w:rFonts w:ascii="Arial" w:hAnsi="Arial" w:cs="Arial"/>
        </w:rPr>
        <w:t>Compliance with CQC</w:t>
      </w:r>
    </w:p>
    <w:p w14:paraId="3945D5CE" w14:textId="77777777" w:rsidR="00823C55" w:rsidRPr="008B0C22" w:rsidRDefault="00823C55" w:rsidP="008B0C22">
      <w:pPr>
        <w:pStyle w:val="ListParagraph"/>
        <w:numPr>
          <w:ilvl w:val="0"/>
          <w:numId w:val="33"/>
        </w:numPr>
        <w:rPr>
          <w:rFonts w:ascii="Arial" w:hAnsi="Arial" w:cs="Arial"/>
        </w:rPr>
      </w:pPr>
      <w:r w:rsidRPr="008B0C22">
        <w:rPr>
          <w:rFonts w:ascii="Arial" w:hAnsi="Arial" w:cs="Arial"/>
        </w:rPr>
        <w:t>GP Information Technology</w:t>
      </w:r>
    </w:p>
    <w:p w14:paraId="472805BE" w14:textId="77777777" w:rsidR="00823C55" w:rsidRPr="00D106D7" w:rsidRDefault="00823C55" w:rsidP="00D106D7">
      <w:pPr>
        <w:rPr>
          <w:rFonts w:ascii="Arial" w:hAnsi="Arial" w:cs="Arial"/>
        </w:rPr>
      </w:pPr>
    </w:p>
    <w:p w14:paraId="657135EB" w14:textId="77777777" w:rsidR="00823C55" w:rsidRPr="00D106D7" w:rsidRDefault="00823C55" w:rsidP="008B0C22">
      <w:pPr>
        <w:jc w:val="both"/>
        <w:rPr>
          <w:rFonts w:ascii="Arial" w:hAnsi="Arial" w:cs="Arial"/>
        </w:rPr>
      </w:pPr>
      <w:r w:rsidRPr="00D106D7">
        <w:rPr>
          <w:rFonts w:ascii="Arial" w:hAnsi="Arial" w:cs="Arial"/>
        </w:rPr>
        <w:t xml:space="preserve">It captures information such as, operating policies, opening times and assurance about practice procedures. This information will link with contractual requirements and may also contain responses to ‘reasonable requests for information’ </w:t>
      </w:r>
      <w:proofErr w:type="gramStart"/>
      <w:r w:rsidRPr="00D106D7">
        <w:rPr>
          <w:rFonts w:ascii="Arial" w:hAnsi="Arial" w:cs="Arial"/>
        </w:rPr>
        <w:t>e.g.</w:t>
      </w:r>
      <w:proofErr w:type="gramEnd"/>
      <w:r w:rsidRPr="00D106D7">
        <w:rPr>
          <w:rFonts w:ascii="Arial" w:hAnsi="Arial" w:cs="Arial"/>
        </w:rPr>
        <w:t xml:space="preserve"> from other government departments and bodies, parliamentary questions and freedom of information requests. The information declared is shared with the CCG and the CQC reducing the burden of separate information returns across </w:t>
      </w:r>
      <w:proofErr w:type="spellStart"/>
      <w:r w:rsidRPr="00D106D7">
        <w:rPr>
          <w:rFonts w:ascii="Arial" w:hAnsi="Arial" w:cs="Arial"/>
        </w:rPr>
        <w:t>organisations</w:t>
      </w:r>
      <w:proofErr w:type="spellEnd"/>
      <w:r w:rsidRPr="00D106D7">
        <w:rPr>
          <w:rFonts w:ascii="Arial" w:hAnsi="Arial" w:cs="Arial"/>
        </w:rPr>
        <w:t xml:space="preserve"> </w:t>
      </w:r>
      <w:proofErr w:type="gramStart"/>
      <w:r w:rsidRPr="00D106D7">
        <w:rPr>
          <w:rFonts w:ascii="Arial" w:hAnsi="Arial" w:cs="Arial"/>
        </w:rPr>
        <w:t>e.g.</w:t>
      </w:r>
      <w:proofErr w:type="gramEnd"/>
      <w:r w:rsidRPr="00D106D7">
        <w:rPr>
          <w:rFonts w:ascii="Arial" w:hAnsi="Arial" w:cs="Arial"/>
        </w:rPr>
        <w:t xml:space="preserve"> as part of pre-inspection information requests.</w:t>
      </w:r>
    </w:p>
    <w:p w14:paraId="432E67CA" w14:textId="77777777" w:rsidR="00823C55" w:rsidRPr="00D106D7" w:rsidRDefault="00823C55" w:rsidP="00D106D7">
      <w:pPr>
        <w:rPr>
          <w:rFonts w:ascii="Arial" w:hAnsi="Arial" w:cs="Arial"/>
        </w:rPr>
      </w:pPr>
    </w:p>
    <w:p w14:paraId="66508E0B" w14:textId="77777777" w:rsidR="00823C55" w:rsidRPr="00D106D7" w:rsidRDefault="00823C55" w:rsidP="00D106D7">
      <w:pPr>
        <w:rPr>
          <w:rFonts w:ascii="Arial" w:hAnsi="Arial" w:cs="Arial"/>
          <w:b/>
          <w:bCs/>
        </w:rPr>
      </w:pPr>
      <w:bookmarkStart w:id="0" w:name="_Annual_e-Declaration_for"/>
      <w:bookmarkEnd w:id="0"/>
      <w:r w:rsidRPr="00D106D7">
        <w:rPr>
          <w:rFonts w:ascii="Arial" w:hAnsi="Arial" w:cs="Arial"/>
          <w:b/>
          <w:bCs/>
        </w:rPr>
        <w:t>Annual e-Declaration for 2020/21</w:t>
      </w:r>
    </w:p>
    <w:p w14:paraId="3B6617C9" w14:textId="77777777" w:rsidR="00823C55" w:rsidRPr="00D106D7" w:rsidRDefault="00823C55" w:rsidP="00D106D7">
      <w:pPr>
        <w:rPr>
          <w:rFonts w:ascii="Arial" w:hAnsi="Arial" w:cs="Arial"/>
        </w:rPr>
      </w:pPr>
    </w:p>
    <w:p w14:paraId="56AB410D" w14:textId="3A1D512A" w:rsidR="00823C55" w:rsidRDefault="00823C55" w:rsidP="008B0C22">
      <w:pPr>
        <w:jc w:val="both"/>
        <w:rPr>
          <w:rFonts w:ascii="Arial" w:hAnsi="Arial" w:cs="Arial"/>
        </w:rPr>
      </w:pPr>
      <w:r w:rsidRPr="00D106D7">
        <w:rPr>
          <w:rFonts w:ascii="Arial" w:hAnsi="Arial" w:cs="Arial"/>
        </w:rPr>
        <w:t xml:space="preserve">All practices were required to submit their </w:t>
      </w:r>
      <w:proofErr w:type="spellStart"/>
      <w:r w:rsidRPr="00D106D7">
        <w:rPr>
          <w:rFonts w:ascii="Arial" w:hAnsi="Arial" w:cs="Arial"/>
        </w:rPr>
        <w:t>eDec</w:t>
      </w:r>
      <w:proofErr w:type="spellEnd"/>
      <w:r w:rsidRPr="00D106D7">
        <w:rPr>
          <w:rFonts w:ascii="Arial" w:hAnsi="Arial" w:cs="Arial"/>
        </w:rPr>
        <w:t xml:space="preserve"> electronically during a </w:t>
      </w:r>
      <w:proofErr w:type="gramStart"/>
      <w:r w:rsidRPr="00D106D7">
        <w:rPr>
          <w:rFonts w:ascii="Arial" w:hAnsi="Arial" w:cs="Arial"/>
        </w:rPr>
        <w:t>six week</w:t>
      </w:r>
      <w:proofErr w:type="gramEnd"/>
      <w:r w:rsidRPr="00D106D7">
        <w:rPr>
          <w:rFonts w:ascii="Arial" w:hAnsi="Arial" w:cs="Arial"/>
        </w:rPr>
        <w:t xml:space="preserve"> period, which due to the pandemic was extended slightly, and ended on 29th January 2021. It is usually submitted by a senior member of the practice staff, such as the practice manager and/or senior partner.  There was 100% compliance by GP practices in the </w:t>
      </w:r>
      <w:proofErr w:type="gramStart"/>
      <w:r w:rsidRPr="00D106D7">
        <w:rPr>
          <w:rFonts w:ascii="Arial" w:hAnsi="Arial" w:cs="Arial"/>
        </w:rPr>
        <w:t>North East</w:t>
      </w:r>
      <w:proofErr w:type="gramEnd"/>
      <w:r w:rsidRPr="00D106D7">
        <w:rPr>
          <w:rFonts w:ascii="Arial" w:hAnsi="Arial" w:cs="Arial"/>
        </w:rPr>
        <w:t xml:space="preserve"> Lincolnshire area.</w:t>
      </w:r>
    </w:p>
    <w:p w14:paraId="11BF7840" w14:textId="77777777" w:rsidR="008B0C22" w:rsidRPr="00D106D7" w:rsidRDefault="008B0C22" w:rsidP="008B0C22">
      <w:pPr>
        <w:jc w:val="both"/>
        <w:rPr>
          <w:rFonts w:ascii="Arial" w:hAnsi="Arial" w:cs="Arial"/>
        </w:rPr>
      </w:pPr>
    </w:p>
    <w:p w14:paraId="02EB710F" w14:textId="77777777" w:rsidR="00823C55" w:rsidRPr="00D106D7" w:rsidRDefault="00823C55" w:rsidP="008B0C22">
      <w:pPr>
        <w:jc w:val="both"/>
        <w:rPr>
          <w:rFonts w:ascii="Arial" w:hAnsi="Arial" w:cs="Arial"/>
        </w:rPr>
      </w:pPr>
      <w:r w:rsidRPr="00D106D7">
        <w:rPr>
          <w:rFonts w:ascii="Arial" w:hAnsi="Arial" w:cs="Arial"/>
        </w:rPr>
        <w:t xml:space="preserve">The 2020/21 </w:t>
      </w:r>
      <w:proofErr w:type="spellStart"/>
      <w:r w:rsidRPr="00D106D7">
        <w:rPr>
          <w:rFonts w:ascii="Arial" w:hAnsi="Arial" w:cs="Arial"/>
        </w:rPr>
        <w:t>eDec</w:t>
      </w:r>
      <w:proofErr w:type="spellEnd"/>
      <w:r w:rsidRPr="00D106D7">
        <w:rPr>
          <w:rFonts w:ascii="Arial" w:hAnsi="Arial" w:cs="Arial"/>
        </w:rPr>
        <w:t xml:space="preserve"> was prepopulated with responses provided from 2019/20 collection. It included mandatory and voluntary questions. For questions that were marked voluntary, practices were encouraged to complete responses to these questions but could leave the questions blank if they prefer.  </w:t>
      </w:r>
    </w:p>
    <w:p w14:paraId="1D5CFE0E" w14:textId="7974E75E" w:rsidR="00823C55" w:rsidRDefault="00823C55" w:rsidP="008B0C22">
      <w:pPr>
        <w:jc w:val="both"/>
        <w:rPr>
          <w:rFonts w:ascii="Arial" w:hAnsi="Arial" w:cs="Arial"/>
        </w:rPr>
      </w:pPr>
      <w:r w:rsidRPr="00D106D7">
        <w:rPr>
          <w:rFonts w:ascii="Arial" w:hAnsi="Arial" w:cs="Arial"/>
        </w:rPr>
        <w:t xml:space="preserve">Following the submissions by practices, commissioners are then expected to review the practice </w:t>
      </w:r>
      <w:proofErr w:type="spellStart"/>
      <w:r w:rsidRPr="00D106D7">
        <w:rPr>
          <w:rFonts w:ascii="Arial" w:hAnsi="Arial" w:cs="Arial"/>
        </w:rPr>
        <w:t>eDec</w:t>
      </w:r>
      <w:proofErr w:type="spellEnd"/>
      <w:r w:rsidRPr="00D106D7">
        <w:rPr>
          <w:rFonts w:ascii="Arial" w:hAnsi="Arial" w:cs="Arial"/>
        </w:rPr>
        <w:t xml:space="preserve"> returns. It is important to note that whilst exercising of the functions passes to the CCG, the liability for the exercise of any of its functions remains with NHS E/I.</w:t>
      </w:r>
    </w:p>
    <w:p w14:paraId="14DD033A" w14:textId="77777777" w:rsidR="008B0C22" w:rsidRPr="00D106D7" w:rsidRDefault="008B0C22" w:rsidP="008B0C22">
      <w:pPr>
        <w:jc w:val="both"/>
        <w:rPr>
          <w:rFonts w:ascii="Arial" w:hAnsi="Arial" w:cs="Arial"/>
        </w:rPr>
      </w:pPr>
    </w:p>
    <w:p w14:paraId="138B1C02" w14:textId="77777777" w:rsidR="00823C55" w:rsidRPr="00D106D7" w:rsidRDefault="00823C55" w:rsidP="00D106D7">
      <w:pPr>
        <w:rPr>
          <w:rFonts w:ascii="Arial" w:hAnsi="Arial" w:cs="Arial"/>
        </w:rPr>
      </w:pPr>
    </w:p>
    <w:p w14:paraId="5ABE36B1" w14:textId="7DD18821" w:rsidR="00823C55" w:rsidRDefault="00823C55" w:rsidP="00D106D7">
      <w:pPr>
        <w:rPr>
          <w:rFonts w:ascii="Arial" w:hAnsi="Arial" w:cs="Arial"/>
          <w:b/>
          <w:bCs/>
        </w:rPr>
      </w:pPr>
      <w:r w:rsidRPr="00D106D7">
        <w:rPr>
          <w:rFonts w:ascii="Arial" w:hAnsi="Arial" w:cs="Arial"/>
          <w:b/>
          <w:bCs/>
        </w:rPr>
        <w:t>Outcomes of the 2020/21 submission</w:t>
      </w:r>
    </w:p>
    <w:p w14:paraId="6A6065CD" w14:textId="77777777" w:rsidR="008B0C22" w:rsidRPr="00D106D7" w:rsidRDefault="008B0C22" w:rsidP="00D106D7">
      <w:pPr>
        <w:rPr>
          <w:rFonts w:ascii="Arial" w:hAnsi="Arial" w:cs="Arial"/>
          <w:b/>
          <w:bCs/>
        </w:rPr>
      </w:pPr>
    </w:p>
    <w:p w14:paraId="4E450675" w14:textId="77777777" w:rsidR="00823C55" w:rsidRPr="00D106D7" w:rsidRDefault="00823C55" w:rsidP="00D106D7">
      <w:pPr>
        <w:rPr>
          <w:rFonts w:ascii="Arial" w:hAnsi="Arial" w:cs="Arial"/>
        </w:rPr>
      </w:pPr>
      <w:r w:rsidRPr="00D106D7">
        <w:rPr>
          <w:rFonts w:ascii="Arial" w:hAnsi="Arial" w:cs="Arial"/>
        </w:rPr>
        <w:t xml:space="preserve">Individual practice declarations for 2020/21 were reviewed by the CCG primary care team and </w:t>
      </w:r>
      <w:proofErr w:type="gramStart"/>
      <w:r w:rsidRPr="00D106D7">
        <w:rPr>
          <w:rFonts w:ascii="Arial" w:hAnsi="Arial" w:cs="Arial"/>
        </w:rPr>
        <w:t>a number of</w:t>
      </w:r>
      <w:proofErr w:type="gramEnd"/>
      <w:r w:rsidRPr="00D106D7">
        <w:rPr>
          <w:rFonts w:ascii="Arial" w:hAnsi="Arial" w:cs="Arial"/>
        </w:rPr>
        <w:t xml:space="preserve"> queries were raised with practices.  It was pleasing to note that the queries were vastly reduced from the previous year.</w:t>
      </w:r>
    </w:p>
    <w:p w14:paraId="49158E65" w14:textId="77777777" w:rsidR="00823C55" w:rsidRPr="00D106D7" w:rsidRDefault="00823C55" w:rsidP="00D106D7">
      <w:pPr>
        <w:rPr>
          <w:rFonts w:ascii="Arial" w:hAnsi="Arial" w:cs="Arial"/>
        </w:rPr>
      </w:pPr>
    </w:p>
    <w:p w14:paraId="5B049500" w14:textId="77777777" w:rsidR="00823C55" w:rsidRPr="00D106D7" w:rsidRDefault="00823C55" w:rsidP="00D106D7">
      <w:pPr>
        <w:rPr>
          <w:rFonts w:ascii="Arial" w:hAnsi="Arial" w:cs="Arial"/>
        </w:rPr>
      </w:pPr>
    </w:p>
    <w:p w14:paraId="59D518CF" w14:textId="34243BFD" w:rsidR="00823C55" w:rsidRPr="00D106D7" w:rsidRDefault="00823C55" w:rsidP="008B0C22">
      <w:pPr>
        <w:jc w:val="both"/>
        <w:rPr>
          <w:rFonts w:ascii="Arial" w:hAnsi="Arial" w:cs="Arial"/>
        </w:rPr>
      </w:pPr>
      <w:r w:rsidRPr="00D106D7">
        <w:rPr>
          <w:rFonts w:ascii="Arial" w:hAnsi="Arial" w:cs="Arial"/>
          <w:b/>
          <w:bCs/>
        </w:rPr>
        <w:t>Patient Participation Group questions</w:t>
      </w:r>
      <w:r w:rsidRPr="00D106D7">
        <w:rPr>
          <w:rFonts w:ascii="Arial" w:hAnsi="Arial" w:cs="Arial"/>
        </w:rPr>
        <w:t>: There are two practices who are not able to evidence that it has engaged with a PPG that is representative of its population throughout the year and make feedback available to the practice population including actions and reports.  These practices have reported that despite their efforts to recruit patients as PPG members they have not been able to.  It should be noted that the CCG has contacted both practices and suggested that a PCN PPG could be explored, with support from the Primary Care Community Lead.</w:t>
      </w:r>
    </w:p>
    <w:p w14:paraId="5F25A80C" w14:textId="77777777" w:rsidR="00823C55" w:rsidRPr="00D106D7" w:rsidRDefault="00823C55" w:rsidP="00D106D7">
      <w:pPr>
        <w:rPr>
          <w:rFonts w:ascii="Arial" w:hAnsi="Arial" w:cs="Arial"/>
        </w:rPr>
      </w:pPr>
    </w:p>
    <w:p w14:paraId="42ACAEF3" w14:textId="51188146" w:rsidR="00823C55" w:rsidRPr="00D106D7" w:rsidRDefault="00823C55" w:rsidP="008B0C22">
      <w:pPr>
        <w:jc w:val="both"/>
        <w:rPr>
          <w:rFonts w:ascii="Arial" w:hAnsi="Arial" w:cs="Arial"/>
        </w:rPr>
      </w:pPr>
      <w:r w:rsidRPr="00D106D7">
        <w:rPr>
          <w:rFonts w:ascii="Arial" w:hAnsi="Arial" w:cs="Arial"/>
          <w:b/>
          <w:bCs/>
        </w:rPr>
        <w:t>Whistleblowing/Freedom to Speak up guardian</w:t>
      </w:r>
      <w:r w:rsidRPr="00D106D7">
        <w:rPr>
          <w:rFonts w:ascii="Arial" w:hAnsi="Arial" w:cs="Arial"/>
        </w:rPr>
        <w:t>: There was one practice did not demonstrate they had a freedom to speak up guardian/local whistleblowing lead. Th</w:t>
      </w:r>
      <w:r w:rsidR="00D106D7">
        <w:rPr>
          <w:rFonts w:ascii="Arial" w:hAnsi="Arial" w:cs="Arial"/>
        </w:rPr>
        <w:t>i</w:t>
      </w:r>
      <w:r w:rsidRPr="00D106D7">
        <w:rPr>
          <w:rFonts w:ascii="Arial" w:hAnsi="Arial" w:cs="Arial"/>
        </w:rPr>
        <w:t>s practice has now confirmed that this action has been addressed and is in place.</w:t>
      </w:r>
    </w:p>
    <w:p w14:paraId="75C06AE7" w14:textId="77777777" w:rsidR="00823C55" w:rsidRPr="00D106D7" w:rsidRDefault="00823C55" w:rsidP="00D106D7">
      <w:pPr>
        <w:rPr>
          <w:rFonts w:ascii="Arial" w:hAnsi="Arial" w:cs="Arial"/>
        </w:rPr>
      </w:pPr>
    </w:p>
    <w:p w14:paraId="71D21CD2" w14:textId="77777777" w:rsidR="00823C55" w:rsidRPr="00D106D7" w:rsidRDefault="00823C55" w:rsidP="008B0C22">
      <w:pPr>
        <w:jc w:val="both"/>
        <w:rPr>
          <w:rFonts w:ascii="Arial" w:hAnsi="Arial" w:cs="Arial"/>
        </w:rPr>
      </w:pPr>
      <w:r w:rsidRPr="00D106D7">
        <w:rPr>
          <w:rFonts w:ascii="Arial" w:hAnsi="Arial" w:cs="Arial"/>
          <w:b/>
          <w:bCs/>
        </w:rPr>
        <w:t>Online Appointments</w:t>
      </w:r>
      <w:r w:rsidRPr="00D106D7">
        <w:rPr>
          <w:rFonts w:ascii="Arial" w:hAnsi="Arial" w:cs="Arial"/>
        </w:rPr>
        <w:t>: Contractually, practices are required to make 25% of appointments available for booking online. However, this requirement was stood down during the response to the pandemic.  Eight practices answered no to this question.  All practices were contacted and confirmed that they offer total triage currently, which will be reassessed as the recovery continues.  It is envisaged that this model is likely to remain in most practices.</w:t>
      </w:r>
    </w:p>
    <w:p w14:paraId="24A89CB3" w14:textId="77777777" w:rsidR="00823C55" w:rsidRPr="00D106D7" w:rsidRDefault="00823C55" w:rsidP="00D106D7">
      <w:pPr>
        <w:rPr>
          <w:rFonts w:ascii="Arial" w:hAnsi="Arial" w:cs="Arial"/>
        </w:rPr>
      </w:pPr>
    </w:p>
    <w:p w14:paraId="739054F8" w14:textId="484B6DD5" w:rsidR="00823C55" w:rsidRDefault="00823C55" w:rsidP="008B0C22">
      <w:pPr>
        <w:jc w:val="both"/>
        <w:rPr>
          <w:rFonts w:ascii="Arial" w:hAnsi="Arial" w:cs="Arial"/>
        </w:rPr>
      </w:pPr>
      <w:r w:rsidRPr="00D106D7">
        <w:rPr>
          <w:rFonts w:ascii="Arial" w:hAnsi="Arial" w:cs="Arial"/>
          <w:b/>
          <w:bCs/>
        </w:rPr>
        <w:t>Direct Booking into 111</w:t>
      </w:r>
      <w:r w:rsidRPr="00D106D7">
        <w:rPr>
          <w:rFonts w:ascii="Arial" w:hAnsi="Arial" w:cs="Arial"/>
        </w:rPr>
        <w:t>: One practice did not confirm that they could process directly booked appointments from NHS111.  This has now been resolved, the practice has confirmed this requirement is in place.</w:t>
      </w:r>
    </w:p>
    <w:p w14:paraId="10C1650A" w14:textId="77777777" w:rsidR="00D106D7" w:rsidRPr="00D106D7" w:rsidRDefault="00D106D7" w:rsidP="00D106D7">
      <w:pPr>
        <w:rPr>
          <w:rFonts w:ascii="Arial" w:hAnsi="Arial" w:cs="Arial"/>
        </w:rPr>
      </w:pPr>
    </w:p>
    <w:p w14:paraId="0318950D" w14:textId="77777777" w:rsidR="00823C55" w:rsidRPr="00D106D7" w:rsidRDefault="00823C55" w:rsidP="008B0C22">
      <w:pPr>
        <w:jc w:val="both"/>
        <w:rPr>
          <w:rFonts w:ascii="Arial" w:hAnsi="Arial" w:cs="Arial"/>
        </w:rPr>
      </w:pPr>
      <w:r w:rsidRPr="00D106D7">
        <w:rPr>
          <w:rFonts w:ascii="Arial" w:hAnsi="Arial" w:cs="Arial"/>
          <w:b/>
          <w:bCs/>
        </w:rPr>
        <w:t>Fax Machines</w:t>
      </w:r>
      <w:r w:rsidRPr="00D106D7">
        <w:rPr>
          <w:rFonts w:ascii="Arial" w:hAnsi="Arial" w:cs="Arial"/>
        </w:rPr>
        <w:t xml:space="preserve">:  One practice did not confirm that they had removed all fax machines.  This practice was contacted and responded to say that they had answered incorrectly, and they </w:t>
      </w:r>
      <w:proofErr w:type="gramStart"/>
      <w:r w:rsidRPr="00D106D7">
        <w:rPr>
          <w:rFonts w:ascii="Arial" w:hAnsi="Arial" w:cs="Arial"/>
        </w:rPr>
        <w:t>not use</w:t>
      </w:r>
      <w:proofErr w:type="gramEnd"/>
      <w:r w:rsidRPr="00D106D7">
        <w:rPr>
          <w:rFonts w:ascii="Arial" w:hAnsi="Arial" w:cs="Arial"/>
        </w:rPr>
        <w:t xml:space="preserve"> a fax machine any longer.</w:t>
      </w:r>
    </w:p>
    <w:p w14:paraId="611AB703" w14:textId="77777777" w:rsidR="00823C55" w:rsidRPr="00D106D7" w:rsidRDefault="00823C55" w:rsidP="008B0C22">
      <w:pPr>
        <w:jc w:val="both"/>
        <w:rPr>
          <w:rFonts w:ascii="Arial" w:hAnsi="Arial" w:cs="Arial"/>
        </w:rPr>
      </w:pPr>
    </w:p>
    <w:p w14:paraId="58EBDD22" w14:textId="0CFC9623" w:rsidR="00823C55" w:rsidRPr="00D106D7" w:rsidRDefault="00823C55" w:rsidP="00D106D7">
      <w:pPr>
        <w:rPr>
          <w:rFonts w:ascii="Arial" w:hAnsi="Arial" w:cs="Arial"/>
          <w:b/>
          <w:bCs/>
        </w:rPr>
      </w:pPr>
      <w:r w:rsidRPr="00D106D7">
        <w:rPr>
          <w:rFonts w:ascii="Arial" w:hAnsi="Arial" w:cs="Arial"/>
          <w:b/>
          <w:bCs/>
        </w:rPr>
        <w:t>Recommendations</w:t>
      </w:r>
      <w:r w:rsidR="00D106D7">
        <w:rPr>
          <w:rFonts w:ascii="Arial" w:hAnsi="Arial" w:cs="Arial"/>
          <w:b/>
          <w:bCs/>
        </w:rPr>
        <w:t>:</w:t>
      </w:r>
    </w:p>
    <w:p w14:paraId="6B8F5989" w14:textId="77777777" w:rsidR="00823C55" w:rsidRPr="00D106D7" w:rsidRDefault="00823C55" w:rsidP="00D106D7">
      <w:pPr>
        <w:rPr>
          <w:rFonts w:ascii="Arial" w:hAnsi="Arial" w:cs="Arial"/>
        </w:rPr>
      </w:pPr>
    </w:p>
    <w:p w14:paraId="756AC418" w14:textId="77777777" w:rsidR="00823C55" w:rsidRPr="00D106D7" w:rsidRDefault="00823C55" w:rsidP="00D106D7">
      <w:pPr>
        <w:rPr>
          <w:rFonts w:ascii="Arial" w:hAnsi="Arial" w:cs="Arial"/>
        </w:rPr>
      </w:pPr>
      <w:r w:rsidRPr="00D106D7">
        <w:rPr>
          <w:rFonts w:ascii="Arial" w:hAnsi="Arial" w:cs="Arial"/>
        </w:rPr>
        <w:t xml:space="preserve">The Committee is asked </w:t>
      </w:r>
      <w:proofErr w:type="gramStart"/>
      <w:r w:rsidRPr="00D106D7">
        <w:rPr>
          <w:rFonts w:ascii="Arial" w:hAnsi="Arial" w:cs="Arial"/>
        </w:rPr>
        <w:t>to:-</w:t>
      </w:r>
      <w:proofErr w:type="gramEnd"/>
    </w:p>
    <w:p w14:paraId="1BF1B924" w14:textId="77777777" w:rsidR="00823C55" w:rsidRPr="00D106D7" w:rsidRDefault="00823C55" w:rsidP="00D106D7">
      <w:pPr>
        <w:rPr>
          <w:rFonts w:ascii="Arial" w:hAnsi="Arial" w:cs="Arial"/>
        </w:rPr>
      </w:pPr>
    </w:p>
    <w:p w14:paraId="23586DA0" w14:textId="77777777" w:rsidR="00823C55" w:rsidRPr="00D106D7" w:rsidRDefault="00823C55" w:rsidP="00D106D7">
      <w:pPr>
        <w:pStyle w:val="ListParagraph"/>
        <w:numPr>
          <w:ilvl w:val="0"/>
          <w:numId w:val="32"/>
        </w:numPr>
        <w:rPr>
          <w:rFonts w:ascii="Arial" w:hAnsi="Arial" w:cs="Arial"/>
        </w:rPr>
      </w:pPr>
      <w:r w:rsidRPr="00D106D7">
        <w:rPr>
          <w:rFonts w:ascii="Arial" w:hAnsi="Arial" w:cs="Arial"/>
        </w:rPr>
        <w:t>Receive this update and accept the assurance of practices compliance with the contract.</w:t>
      </w:r>
    </w:p>
    <w:p w14:paraId="12725AE9" w14:textId="77777777" w:rsidR="00823C55" w:rsidRPr="00D106D7" w:rsidRDefault="00823C55" w:rsidP="00D106D7">
      <w:pPr>
        <w:pStyle w:val="ListParagraph"/>
        <w:numPr>
          <w:ilvl w:val="0"/>
          <w:numId w:val="32"/>
        </w:numPr>
        <w:rPr>
          <w:rFonts w:ascii="Arial" w:hAnsi="Arial" w:cs="Arial"/>
        </w:rPr>
      </w:pPr>
      <w:r w:rsidRPr="00D106D7">
        <w:rPr>
          <w:rFonts w:ascii="Arial" w:hAnsi="Arial" w:cs="Arial"/>
        </w:rPr>
        <w:t>Note the actions taken by the CCG to address issues raised.</w:t>
      </w:r>
    </w:p>
    <w:p w14:paraId="74CB3C2B" w14:textId="77777777" w:rsidR="00823C55" w:rsidRPr="00D106D7" w:rsidRDefault="00823C55" w:rsidP="007A35A7">
      <w:pPr>
        <w:rPr>
          <w:rFonts w:ascii="Arial" w:hAnsi="Arial" w:cs="Arial"/>
        </w:rPr>
      </w:pPr>
    </w:p>
    <w:sectPr w:rsidR="00823C55" w:rsidRPr="00D106D7" w:rsidSect="00EA53C2">
      <w:headerReference w:type="default" r:id="rId10"/>
      <w:footerReference w:type="default" r:id="rId11"/>
      <w:headerReference w:type="first" r:id="rId12"/>
      <w:footerReference w:type="first" r:id="rId13"/>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C475D"/>
    <w:multiLevelType w:val="multilevel"/>
    <w:tmpl w:val="11DCA9A6"/>
    <w:lvl w:ilvl="0">
      <w:start w:val="1"/>
      <w:numFmt w:val="decimal"/>
      <w:lvlText w:val="%1."/>
      <w:lvlJc w:val="left"/>
      <w:pPr>
        <w:ind w:left="360" w:hanging="360"/>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07" w:hanging="399"/>
      </w:pPr>
      <w:rPr>
        <w:rFonts w:ascii="Arial" w:eastAsia="Arial" w:hAnsi="Arial" w:cs="Arial" w:hint="default"/>
        <w:w w:val="100"/>
        <w:sz w:val="22"/>
        <w:szCs w:val="22"/>
        <w:lang w:val="en-GB" w:eastAsia="en-GB" w:bidi="en-GB"/>
      </w:rPr>
    </w:lvl>
    <w:lvl w:ilvl="2">
      <w:numFmt w:val="bullet"/>
      <w:lvlText w:val=""/>
      <w:lvlJc w:val="left"/>
      <w:pPr>
        <w:ind w:left="929" w:hanging="360"/>
      </w:pPr>
      <w:rPr>
        <w:rFonts w:ascii="Symbol" w:eastAsia="Symbol" w:hAnsi="Symbol" w:cs="Symbol" w:hint="default"/>
        <w:w w:val="100"/>
        <w:sz w:val="22"/>
        <w:szCs w:val="22"/>
        <w:lang w:val="en-GB" w:eastAsia="en-GB" w:bidi="en-GB"/>
      </w:rPr>
    </w:lvl>
    <w:lvl w:ilvl="3">
      <w:numFmt w:val="bullet"/>
      <w:lvlText w:val="o"/>
      <w:lvlJc w:val="left"/>
      <w:pPr>
        <w:ind w:left="1654" w:hanging="360"/>
      </w:pPr>
      <w:rPr>
        <w:rFonts w:ascii="Courier New" w:eastAsia="Courier New" w:hAnsi="Courier New" w:cs="Courier New" w:hint="default"/>
        <w:w w:val="100"/>
        <w:sz w:val="22"/>
        <w:szCs w:val="22"/>
        <w:lang w:val="en-GB" w:eastAsia="en-GB" w:bidi="en-GB"/>
      </w:rPr>
    </w:lvl>
    <w:lvl w:ilvl="4">
      <w:numFmt w:val="bullet"/>
      <w:lvlText w:val="•"/>
      <w:lvlJc w:val="left"/>
      <w:pPr>
        <w:ind w:left="2729" w:hanging="360"/>
      </w:pPr>
      <w:rPr>
        <w:rFonts w:hint="default"/>
        <w:lang w:val="en-GB" w:eastAsia="en-GB" w:bidi="en-GB"/>
      </w:rPr>
    </w:lvl>
    <w:lvl w:ilvl="5">
      <w:numFmt w:val="bullet"/>
      <w:lvlText w:val="•"/>
      <w:lvlJc w:val="left"/>
      <w:pPr>
        <w:ind w:left="3798" w:hanging="360"/>
      </w:pPr>
      <w:rPr>
        <w:rFonts w:hint="default"/>
        <w:lang w:val="en-GB" w:eastAsia="en-GB" w:bidi="en-GB"/>
      </w:rPr>
    </w:lvl>
    <w:lvl w:ilvl="6">
      <w:numFmt w:val="bullet"/>
      <w:lvlText w:val="•"/>
      <w:lvlJc w:val="left"/>
      <w:pPr>
        <w:ind w:left="4868" w:hanging="360"/>
      </w:pPr>
      <w:rPr>
        <w:rFonts w:hint="default"/>
        <w:lang w:val="en-GB" w:eastAsia="en-GB" w:bidi="en-GB"/>
      </w:rPr>
    </w:lvl>
    <w:lvl w:ilvl="7">
      <w:numFmt w:val="bullet"/>
      <w:lvlText w:val="•"/>
      <w:lvlJc w:val="left"/>
      <w:pPr>
        <w:ind w:left="5937" w:hanging="360"/>
      </w:pPr>
      <w:rPr>
        <w:rFonts w:hint="default"/>
        <w:lang w:val="en-GB" w:eastAsia="en-GB" w:bidi="en-GB"/>
      </w:rPr>
    </w:lvl>
    <w:lvl w:ilvl="8">
      <w:numFmt w:val="bullet"/>
      <w:lvlText w:val="•"/>
      <w:lvlJc w:val="left"/>
      <w:pPr>
        <w:ind w:left="7007" w:hanging="360"/>
      </w:pPr>
      <w:rPr>
        <w:rFonts w:hint="default"/>
        <w:lang w:val="en-GB" w:eastAsia="en-GB" w:bidi="en-GB"/>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9243A0"/>
    <w:multiLevelType w:val="hybridMultilevel"/>
    <w:tmpl w:val="26D8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FC71440"/>
    <w:multiLevelType w:val="hybridMultilevel"/>
    <w:tmpl w:val="0CECFC3E"/>
    <w:lvl w:ilvl="0" w:tplc="8A8481E2">
      <w:numFmt w:val="bullet"/>
      <w:lvlText w:val=""/>
      <w:lvlJc w:val="left"/>
      <w:pPr>
        <w:ind w:left="460" w:hanging="360"/>
      </w:pPr>
      <w:rPr>
        <w:rFonts w:ascii="Symbol" w:eastAsia="Symbol" w:hAnsi="Symbol" w:cs="Symbol" w:hint="default"/>
        <w:w w:val="100"/>
        <w:sz w:val="22"/>
        <w:szCs w:val="22"/>
        <w:lang w:val="en-GB" w:eastAsia="en-GB" w:bidi="en-GB"/>
      </w:rPr>
    </w:lvl>
    <w:lvl w:ilvl="1" w:tplc="4F18AEE0">
      <w:numFmt w:val="bullet"/>
      <w:lvlText w:val="•"/>
      <w:lvlJc w:val="left"/>
      <w:pPr>
        <w:ind w:left="1338" w:hanging="360"/>
      </w:pPr>
      <w:rPr>
        <w:rFonts w:hint="default"/>
        <w:lang w:val="en-GB" w:eastAsia="en-GB" w:bidi="en-GB"/>
      </w:rPr>
    </w:lvl>
    <w:lvl w:ilvl="2" w:tplc="5A803986">
      <w:numFmt w:val="bullet"/>
      <w:lvlText w:val="•"/>
      <w:lvlJc w:val="left"/>
      <w:pPr>
        <w:ind w:left="2217" w:hanging="360"/>
      </w:pPr>
      <w:rPr>
        <w:rFonts w:hint="default"/>
        <w:lang w:val="en-GB" w:eastAsia="en-GB" w:bidi="en-GB"/>
      </w:rPr>
    </w:lvl>
    <w:lvl w:ilvl="3" w:tplc="3B50CE3C">
      <w:numFmt w:val="bullet"/>
      <w:lvlText w:val="•"/>
      <w:lvlJc w:val="left"/>
      <w:pPr>
        <w:ind w:left="3095" w:hanging="360"/>
      </w:pPr>
      <w:rPr>
        <w:rFonts w:hint="default"/>
        <w:lang w:val="en-GB" w:eastAsia="en-GB" w:bidi="en-GB"/>
      </w:rPr>
    </w:lvl>
    <w:lvl w:ilvl="4" w:tplc="8968C31E">
      <w:numFmt w:val="bullet"/>
      <w:lvlText w:val="•"/>
      <w:lvlJc w:val="left"/>
      <w:pPr>
        <w:ind w:left="3974" w:hanging="360"/>
      </w:pPr>
      <w:rPr>
        <w:rFonts w:hint="default"/>
        <w:lang w:val="en-GB" w:eastAsia="en-GB" w:bidi="en-GB"/>
      </w:rPr>
    </w:lvl>
    <w:lvl w:ilvl="5" w:tplc="F67EC7C0">
      <w:numFmt w:val="bullet"/>
      <w:lvlText w:val="•"/>
      <w:lvlJc w:val="left"/>
      <w:pPr>
        <w:ind w:left="4853" w:hanging="360"/>
      </w:pPr>
      <w:rPr>
        <w:rFonts w:hint="default"/>
        <w:lang w:val="en-GB" w:eastAsia="en-GB" w:bidi="en-GB"/>
      </w:rPr>
    </w:lvl>
    <w:lvl w:ilvl="6" w:tplc="AEB4DFEC">
      <w:numFmt w:val="bullet"/>
      <w:lvlText w:val="•"/>
      <w:lvlJc w:val="left"/>
      <w:pPr>
        <w:ind w:left="5731" w:hanging="360"/>
      </w:pPr>
      <w:rPr>
        <w:rFonts w:hint="default"/>
        <w:lang w:val="en-GB" w:eastAsia="en-GB" w:bidi="en-GB"/>
      </w:rPr>
    </w:lvl>
    <w:lvl w:ilvl="7" w:tplc="064C0D5C">
      <w:numFmt w:val="bullet"/>
      <w:lvlText w:val="•"/>
      <w:lvlJc w:val="left"/>
      <w:pPr>
        <w:ind w:left="6610" w:hanging="360"/>
      </w:pPr>
      <w:rPr>
        <w:rFonts w:hint="default"/>
        <w:lang w:val="en-GB" w:eastAsia="en-GB" w:bidi="en-GB"/>
      </w:rPr>
    </w:lvl>
    <w:lvl w:ilvl="8" w:tplc="CD52640A">
      <w:numFmt w:val="bullet"/>
      <w:lvlText w:val="•"/>
      <w:lvlJc w:val="left"/>
      <w:pPr>
        <w:ind w:left="7489" w:hanging="360"/>
      </w:pPr>
      <w:rPr>
        <w:rFonts w:hint="default"/>
        <w:lang w:val="en-GB" w:eastAsia="en-GB" w:bidi="en-GB"/>
      </w:rPr>
    </w:lvl>
  </w:abstractNum>
  <w:abstractNum w:abstractNumId="27"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2665FB"/>
    <w:multiLevelType w:val="hybridMultilevel"/>
    <w:tmpl w:val="C8AC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65155"/>
    <w:multiLevelType w:val="hybridMultilevel"/>
    <w:tmpl w:val="D856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3"/>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2"/>
  </w:num>
  <w:num w:numId="22">
    <w:abstractNumId w:val="11"/>
  </w:num>
  <w:num w:numId="23">
    <w:abstractNumId w:val="32"/>
  </w:num>
  <w:num w:numId="24">
    <w:abstractNumId w:val="15"/>
  </w:num>
  <w:num w:numId="25">
    <w:abstractNumId w:val="20"/>
  </w:num>
  <w:num w:numId="26">
    <w:abstractNumId w:val="14"/>
  </w:num>
  <w:num w:numId="27">
    <w:abstractNumId w:val="27"/>
  </w:num>
  <w:num w:numId="28">
    <w:abstractNumId w:val="30"/>
  </w:num>
  <w:num w:numId="29">
    <w:abstractNumId w:val="26"/>
  </w:num>
  <w:num w:numId="30">
    <w:abstractNumId w:val="16"/>
  </w:num>
  <w:num w:numId="31">
    <w:abstractNumId w:val="31"/>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A6EBC"/>
    <w:rsid w:val="001712C0"/>
    <w:rsid w:val="00205F01"/>
    <w:rsid w:val="002B7673"/>
    <w:rsid w:val="00301E85"/>
    <w:rsid w:val="00316D75"/>
    <w:rsid w:val="003426F6"/>
    <w:rsid w:val="00373F12"/>
    <w:rsid w:val="00390FEA"/>
    <w:rsid w:val="003F1101"/>
    <w:rsid w:val="00465B88"/>
    <w:rsid w:val="00481002"/>
    <w:rsid w:val="00485586"/>
    <w:rsid w:val="005051F9"/>
    <w:rsid w:val="00614C77"/>
    <w:rsid w:val="00622500"/>
    <w:rsid w:val="00645252"/>
    <w:rsid w:val="006D3D74"/>
    <w:rsid w:val="007139D0"/>
    <w:rsid w:val="00761230"/>
    <w:rsid w:val="0077046E"/>
    <w:rsid w:val="00774BC4"/>
    <w:rsid w:val="007A35A7"/>
    <w:rsid w:val="007C6D38"/>
    <w:rsid w:val="008167A7"/>
    <w:rsid w:val="00823C55"/>
    <w:rsid w:val="0083569A"/>
    <w:rsid w:val="008B0C22"/>
    <w:rsid w:val="00953F75"/>
    <w:rsid w:val="00985504"/>
    <w:rsid w:val="00987905"/>
    <w:rsid w:val="009A4E82"/>
    <w:rsid w:val="009D2B9B"/>
    <w:rsid w:val="00A9204E"/>
    <w:rsid w:val="00B42081"/>
    <w:rsid w:val="00B86B77"/>
    <w:rsid w:val="00BD3CB7"/>
    <w:rsid w:val="00C254BA"/>
    <w:rsid w:val="00C51F00"/>
    <w:rsid w:val="00C73FD3"/>
    <w:rsid w:val="00CB5570"/>
    <w:rsid w:val="00CB7680"/>
    <w:rsid w:val="00D106D7"/>
    <w:rsid w:val="00D431DE"/>
    <w:rsid w:val="00D448E3"/>
    <w:rsid w:val="00D763B6"/>
    <w:rsid w:val="00DB7724"/>
    <w:rsid w:val="00DE79E3"/>
    <w:rsid w:val="00E22203"/>
    <w:rsid w:val="00E511D7"/>
    <w:rsid w:val="00EA53C2"/>
    <w:rsid w:val="00EC0962"/>
    <w:rsid w:val="00F47E31"/>
    <w:rsid w:val="00F57323"/>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unhideWhenUsed/>
    <w:qFormat/>
    <w:rsid w:val="00B86B77"/>
    <w:pPr>
      <w:ind w:left="720"/>
      <w:contextualSpacing/>
    </w:pPr>
  </w:style>
  <w:style w:type="paragraph" w:styleId="BodyText">
    <w:name w:val="Body Text"/>
    <w:basedOn w:val="Normal"/>
    <w:link w:val="BodyTextChar"/>
    <w:uiPriority w:val="99"/>
    <w:semiHidden/>
    <w:unhideWhenUsed/>
    <w:rsid w:val="00774BC4"/>
    <w:pPr>
      <w:spacing w:after="120"/>
    </w:pPr>
  </w:style>
  <w:style w:type="character" w:customStyle="1" w:styleId="BodyTextChar">
    <w:name w:val="Body Text Char"/>
    <w:basedOn w:val="DefaultParagraphFont"/>
    <w:link w:val="BodyText"/>
    <w:uiPriority w:val="99"/>
    <w:semiHidden/>
    <w:rsid w:val="0077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77</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 (CCG)</cp:lastModifiedBy>
  <cp:revision>7</cp:revision>
  <dcterms:created xsi:type="dcterms:W3CDTF">2021-07-28T17:08:00Z</dcterms:created>
  <dcterms:modified xsi:type="dcterms:W3CDTF">2021-08-03T11:02:00Z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