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ED1" w14:textId="15E4ADD6" w:rsidR="007A35A7" w:rsidRPr="00DE4FA0" w:rsidRDefault="007A35A7" w:rsidP="007A35A7">
      <w:pPr>
        <w:rPr>
          <w:rFonts w:ascii="Arial" w:hAnsi="Arial" w:cs="Arial"/>
          <w:b/>
          <w:bCs/>
        </w:rPr>
      </w:pPr>
    </w:p>
    <w:p w14:paraId="00EDB048" w14:textId="42E85CF7" w:rsidR="007A35A7" w:rsidRPr="00DE4FA0" w:rsidRDefault="007A35A7" w:rsidP="00F47E31">
      <w:pPr>
        <w:rPr>
          <w:rFonts w:ascii="Arial" w:hAnsi="Arial" w:cs="Arial"/>
          <w:b/>
          <w:bCs/>
        </w:rPr>
      </w:pPr>
      <w:r w:rsidRPr="00DE4FA0">
        <w:rPr>
          <w:rFonts w:ascii="Arial" w:hAnsi="Arial" w:cs="Arial"/>
          <w:b/>
          <w:bCs/>
        </w:rPr>
        <w:t>Report to:</w:t>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sdt>
        <w:sdtPr>
          <w:rPr>
            <w:rFonts w:ascii="Arial" w:hAnsi="Arial" w:cs="Arial"/>
            <w:b/>
            <w:bCs/>
          </w:rPr>
          <w:id w:val="-78752904"/>
          <w:placeholder>
            <w:docPart w:val="C8E3F1C1AFDB400C90EA33449E09AFA6"/>
          </w:placeholder>
          <w:text/>
        </w:sdtPr>
        <w:sdtEndPr/>
        <w:sdtContent>
          <w:r w:rsidR="00DE4FA0" w:rsidRPr="00DE4FA0">
            <w:rPr>
              <w:rFonts w:ascii="Arial" w:hAnsi="Arial" w:cs="Arial"/>
              <w:b/>
              <w:bCs/>
            </w:rPr>
            <w:t>Primary Care Commissioning Committee</w:t>
          </w:r>
        </w:sdtContent>
      </w:sdt>
    </w:p>
    <w:p w14:paraId="16DEF567" w14:textId="4DF3F358"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8-10T00:00:00Z">
            <w:dateFormat w:val="dd/MM/yyyy"/>
            <w:lid w:val="en-GB"/>
            <w:storeMappedDataAs w:val="dateTime"/>
            <w:calendar w:val="gregorian"/>
          </w:date>
        </w:sdtPr>
        <w:sdtEndPr/>
        <w:sdtContent>
          <w:r w:rsidR="00771ADB">
            <w:rPr>
              <w:rFonts w:ascii="Arial" w:hAnsi="Arial" w:cs="Arial"/>
              <w:b/>
              <w:bCs/>
              <w:lang w:val="en-GB"/>
            </w:rPr>
            <w:t>10/08/2021</w:t>
          </w:r>
        </w:sdtContent>
      </w:sdt>
    </w:p>
    <w:p w14:paraId="5693DC73" w14:textId="1DE4810B"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8-03T00:00:00Z">
            <w:dateFormat w:val="dd/MM/yyyy"/>
            <w:lid w:val="en-GB"/>
            <w:storeMappedDataAs w:val="dateTime"/>
            <w:calendar w:val="gregorian"/>
          </w:date>
        </w:sdtPr>
        <w:sdtEndPr/>
        <w:sdtContent>
          <w:r w:rsidR="00771ADB">
            <w:rPr>
              <w:rFonts w:ascii="Arial" w:hAnsi="Arial" w:cs="Arial"/>
              <w:b/>
              <w:bCs/>
            </w:rPr>
            <w:t>03/08/2021</w:t>
          </w:r>
        </w:sdtContent>
      </w:sdt>
    </w:p>
    <w:p w14:paraId="559C3671" w14:textId="6129A8A2" w:rsidR="007A35A7" w:rsidRPr="00BB435E" w:rsidRDefault="007A35A7" w:rsidP="00F47E31">
      <w:pPr>
        <w:rPr>
          <w:rFonts w:ascii="Arial" w:hAnsi="Arial" w:cs="Arial"/>
          <w:b/>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771ADB" w:rsidRPr="00771ADB">
            <w:rPr>
              <w:rFonts w:ascii="Arial" w:hAnsi="Arial" w:cs="Arial"/>
              <w:b/>
              <w:bCs/>
            </w:rPr>
            <w:t xml:space="preserve">Shared Care Generic Framework specification </w:t>
          </w:r>
        </w:sdtContent>
      </w:sdt>
    </w:p>
    <w:p w14:paraId="69070772" w14:textId="744F4D9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DE4FA0">
            <w:rPr>
              <w:rFonts w:ascii="Arial" w:hAnsi="Arial" w:cs="Arial"/>
              <w:b/>
              <w:bCs/>
            </w:rPr>
            <w:t>Rachel Barrowcliff</w:t>
          </w:r>
        </w:sdtContent>
      </w:sdt>
    </w:p>
    <w:p w14:paraId="50602481" w14:textId="0408429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9642D0">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72B8A5AE"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71ADB">
                                  <w:rPr>
                                    <w:rFonts w:ascii="MS Gothic" w:eastAsia="MS Gothic" w:hAnsi="MS Gothic" w:cstheme="minorHAnsi" w:hint="eastAsia"/>
                                  </w:rPr>
                                  <w:t>☒</w:t>
                                </w:r>
                              </w:sdtContent>
                            </w:sdt>
                          </w:p>
                          <w:p w14:paraId="35125D31" w14:textId="44B76A95"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sidR="00771ADB">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2A447A6"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F77710">
                                  <w:rPr>
                                    <w:rFonts w:ascii="MS Gothic" w:eastAsia="MS Gothic" w:hAnsi="MS Gothic" w:cstheme="minorHAnsi" w:hint="eastAsia"/>
                                  </w:rPr>
                                  <w:t>☐</w:t>
                                </w:r>
                              </w:sdtContent>
                            </w:sdt>
                          </w:p>
                          <w:p w14:paraId="0E98AE76" w14:textId="0E8263FE"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674C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72B8A5AE"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71ADB">
                            <w:rPr>
                              <w:rFonts w:ascii="MS Gothic" w:eastAsia="MS Gothic" w:hAnsi="MS Gothic" w:cstheme="minorHAnsi" w:hint="eastAsia"/>
                            </w:rPr>
                            <w:t>☒</w:t>
                          </w:r>
                        </w:sdtContent>
                      </w:sdt>
                    </w:p>
                    <w:p w14:paraId="35125D31" w14:textId="44B76A95"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sidR="00771ADB">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2A447A6"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F77710">
                            <w:rPr>
                              <w:rFonts w:ascii="MS Gothic" w:eastAsia="MS Gothic" w:hAnsi="MS Gothic" w:cstheme="minorHAnsi" w:hint="eastAsia"/>
                            </w:rPr>
                            <w:t>☐</w:t>
                          </w:r>
                        </w:sdtContent>
                      </w:sdt>
                    </w:p>
                    <w:p w14:paraId="0E98AE76" w14:textId="0E8263FE"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674C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78F2FCCC" w:rsidR="003F1101" w:rsidRPr="00DE4FA0" w:rsidRDefault="00771ADB" w:rsidP="008924CE">
            <w:pPr>
              <w:pStyle w:val="NoSpacing"/>
            </w:pPr>
            <w:r w:rsidRPr="008924CE">
              <w:rPr>
                <w:rFonts w:ascii="Arial" w:hAnsi="Arial" w:cs="Arial"/>
                <w:bCs/>
                <w:sz w:val="24"/>
                <w:szCs w:val="24"/>
              </w:rPr>
              <w:t>To present the newly proposed Shared care framework specification and see</w:t>
            </w:r>
            <w:r w:rsidR="008924CE" w:rsidRPr="008924CE">
              <w:rPr>
                <w:rFonts w:ascii="Arial" w:hAnsi="Arial" w:cs="Arial"/>
                <w:bCs/>
                <w:sz w:val="24"/>
                <w:szCs w:val="24"/>
              </w:rPr>
              <w:t>k</w:t>
            </w:r>
            <w:r w:rsidRPr="008924CE">
              <w:rPr>
                <w:rFonts w:ascii="Arial" w:hAnsi="Arial" w:cs="Arial"/>
                <w:bCs/>
                <w:sz w:val="24"/>
                <w:szCs w:val="24"/>
              </w:rPr>
              <w:t xml:space="preserve"> approval for its implementation in primary care.</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61C1062D" w:rsidR="003F1101" w:rsidRPr="00BB435E" w:rsidRDefault="00BB435E" w:rsidP="00BB435E">
            <w:pPr>
              <w:pStyle w:val="NoSpacing"/>
              <w:rPr>
                <w:rFonts w:ascii="Arial" w:hAnsi="Arial" w:cs="Arial"/>
                <w:bCs/>
                <w:sz w:val="24"/>
                <w:szCs w:val="24"/>
              </w:rPr>
            </w:pPr>
            <w:r w:rsidRPr="00BB435E">
              <w:rPr>
                <w:rFonts w:ascii="Arial" w:hAnsi="Arial" w:cs="Arial"/>
                <w:bCs/>
                <w:sz w:val="24"/>
                <w:szCs w:val="24"/>
              </w:rPr>
              <w:t xml:space="preserve">The committee are asked to </w:t>
            </w:r>
            <w:r w:rsidR="00771ADB">
              <w:rPr>
                <w:rFonts w:ascii="Arial" w:hAnsi="Arial" w:cs="Arial"/>
                <w:bCs/>
                <w:sz w:val="24"/>
                <w:szCs w:val="24"/>
              </w:rPr>
              <w:t>note and approve the content of the shared care specification, including the costings.</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43645EB0" w14:textId="51467AD5" w:rsidR="003F1101" w:rsidRPr="003F1101" w:rsidRDefault="008D383A" w:rsidP="00771ADB">
            <w:pPr>
              <w:pStyle w:val="Default"/>
              <w:jc w:val="both"/>
              <w:rPr>
                <w:b/>
                <w:bCs/>
                <w:color w:val="auto"/>
                <w:sz w:val="22"/>
                <w:szCs w:val="22"/>
              </w:rPr>
            </w:pPr>
            <w:r>
              <w:t>Specification has been shared with LMC, Medical Director</w:t>
            </w:r>
            <w:r w:rsidR="004A5BAE">
              <w:t>,</w:t>
            </w:r>
            <w:r w:rsidR="007C47BA">
              <w:t xml:space="preserve"> </w:t>
            </w:r>
            <w:r>
              <w:t>and PCN Clinical Directors</w:t>
            </w:r>
            <w:r w:rsidR="004A5BAE">
              <w:t>, Prescribing Lead and PCN/ practice pharmacists.</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221ABA57" w:rsidR="003F1101" w:rsidRPr="003F1101" w:rsidRDefault="00DE4FA0" w:rsidP="003F1101">
            <w:pPr>
              <w:pStyle w:val="Default"/>
              <w:jc w:val="both"/>
              <w:rPr>
                <w:bCs/>
                <w:color w:val="auto"/>
                <w:sz w:val="22"/>
                <w:szCs w:val="22"/>
              </w:rPr>
            </w:pPr>
            <w:r>
              <w:rPr>
                <w:bCs/>
                <w:color w:val="auto"/>
                <w:sz w:val="22"/>
                <w:szCs w:val="22"/>
              </w:rPr>
              <w:t>Not applicable</w:t>
            </w:r>
            <w:r w:rsidR="006B0838">
              <w:rPr>
                <w:bCs/>
                <w:color w:val="auto"/>
                <w:sz w:val="22"/>
                <w:szCs w:val="22"/>
              </w:rPr>
              <w:t xml:space="preserve"> </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DE4FA0" w:rsidRDefault="003F1101" w:rsidP="003F1101">
            <w:pPr>
              <w:pStyle w:val="Default"/>
              <w:jc w:val="center"/>
              <w:rPr>
                <w:bCs/>
                <w:color w:val="FFFFFF" w:themeColor="background1"/>
                <w:sz w:val="22"/>
                <w:szCs w:val="22"/>
              </w:rPr>
            </w:pPr>
            <w:r w:rsidRPr="00DE4FA0">
              <w:rPr>
                <w:bCs/>
                <w:color w:val="FFFFFF" w:themeColor="background1"/>
                <w:sz w:val="22"/>
                <w:szCs w:val="22"/>
              </w:rPr>
              <w:t>Committee Process and Assurance:</w:t>
            </w:r>
          </w:p>
        </w:tc>
        <w:tc>
          <w:tcPr>
            <w:tcW w:w="8838" w:type="dxa"/>
          </w:tcPr>
          <w:p w14:paraId="3E2FDADF" w14:textId="62D5A47E" w:rsidR="003F1101" w:rsidRPr="00DE4FA0" w:rsidRDefault="00901167" w:rsidP="003F1101">
            <w:pPr>
              <w:pStyle w:val="Default"/>
              <w:jc w:val="both"/>
              <w:rPr>
                <w:bCs/>
                <w:sz w:val="22"/>
                <w:szCs w:val="22"/>
              </w:rPr>
            </w:pPr>
            <w:r>
              <w:rPr>
                <w:bCs/>
                <w:sz w:val="22"/>
                <w:szCs w:val="22"/>
              </w:rPr>
              <w:t>Not applicable</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7667B4D9" w:rsidR="001712C0" w:rsidRDefault="00DE4FA0"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245ABA7F" w:rsidR="001712C0" w:rsidRDefault="00DE4FA0"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7B5C8AC7" w:rsidR="00DE79E3" w:rsidRPr="001712C0" w:rsidRDefault="00DE4FA0"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230233BF" w:rsidR="00DE79E3" w:rsidRDefault="00771ADB"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1"/>
                <w14:checkedState w14:val="2612" w14:font="MS Gothic"/>
                <w14:uncheckedState w14:val="2610" w14:font="MS Gothic"/>
              </w14:checkbox>
            </w:sdtPr>
            <w:sdtEndPr/>
            <w:sdtContent>
              <w:p w14:paraId="7FF8DC3F" w14:textId="5966D63E" w:rsidR="00DE79E3" w:rsidRPr="001712C0" w:rsidRDefault="006D535F"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8D383A" w14:paraId="0DE5211B" w14:textId="77777777" w:rsidTr="003E4BFE">
        <w:trPr>
          <w:trHeight w:val="1704"/>
        </w:trPr>
        <w:tc>
          <w:tcPr>
            <w:tcW w:w="11096" w:type="dxa"/>
            <w:vAlign w:val="center"/>
          </w:tcPr>
          <w:p w14:paraId="1135BFA7" w14:textId="07A702BF" w:rsidR="008D383A" w:rsidRDefault="008D383A" w:rsidP="008D383A">
            <w:pPr>
              <w:rPr>
                <w:rFonts w:ascii="Arial" w:hAnsi="Arial" w:cs="Arial"/>
              </w:rPr>
            </w:pPr>
            <w:r>
              <w:rPr>
                <w:rFonts w:ascii="Arial" w:hAnsi="Arial" w:cs="Arial"/>
              </w:rPr>
              <w:t>Financial risk in that there is no identified budget for future shared care protocols</w:t>
            </w:r>
            <w:r w:rsidR="008924CE">
              <w:rPr>
                <w:rFonts w:ascii="Arial" w:hAnsi="Arial" w:cs="Arial"/>
              </w:rPr>
              <w:t xml:space="preserve"> which will result in an increase in the current budget.</w:t>
            </w:r>
          </w:p>
          <w:p w14:paraId="2D21115C" w14:textId="77777777" w:rsidR="00E57064" w:rsidRDefault="00E57064" w:rsidP="008D383A">
            <w:pPr>
              <w:rPr>
                <w:rFonts w:ascii="Arial" w:hAnsi="Arial" w:cs="Arial"/>
              </w:rPr>
            </w:pPr>
          </w:p>
          <w:p w14:paraId="316F177F" w14:textId="7CAE0219" w:rsidR="008924CE" w:rsidRDefault="008924CE" w:rsidP="008D383A">
            <w:pPr>
              <w:rPr>
                <w:rFonts w:ascii="Arial" w:hAnsi="Arial" w:cs="Arial"/>
              </w:rPr>
            </w:pPr>
            <w:r>
              <w:rPr>
                <w:rFonts w:ascii="Arial" w:hAnsi="Arial" w:cs="Arial"/>
              </w:rPr>
              <w:t xml:space="preserve">However, it has been acknowledged through the ongoing Outpatient Transformation work that it is necessary for these new shared care arrangements to be implemented as soon as possible, to enable secondary care resources to be freed up and </w:t>
            </w:r>
            <w:proofErr w:type="spellStart"/>
            <w:r>
              <w:rPr>
                <w:rFonts w:ascii="Arial" w:hAnsi="Arial" w:cs="Arial"/>
              </w:rPr>
              <w:t>prioritised</w:t>
            </w:r>
            <w:proofErr w:type="spellEnd"/>
            <w:r>
              <w:rPr>
                <w:rFonts w:ascii="Arial" w:hAnsi="Arial" w:cs="Arial"/>
              </w:rPr>
              <w:t xml:space="preserve"> elsewhere.</w:t>
            </w:r>
          </w:p>
        </w:tc>
      </w:tr>
    </w:tbl>
    <w:p w14:paraId="2950BB8E" w14:textId="77777777" w:rsidR="00DE4FA0" w:rsidRDefault="00DE4FA0" w:rsidP="007A35A7">
      <w:pPr>
        <w:rPr>
          <w:rFonts w:ascii="Arial" w:hAnsi="Arial" w:cs="Arial"/>
          <w:b/>
          <w:bCs/>
        </w:rPr>
      </w:pPr>
    </w:p>
    <w:p w14:paraId="1598F8D0" w14:textId="77777777" w:rsidR="006B0838" w:rsidRDefault="006B0838" w:rsidP="007A35A7">
      <w:pPr>
        <w:rPr>
          <w:rFonts w:ascii="Arial" w:hAnsi="Arial" w:cs="Arial"/>
          <w:b/>
          <w:bCs/>
        </w:rPr>
      </w:pPr>
    </w:p>
    <w:p w14:paraId="5BFF5B90" w14:textId="77777777" w:rsidR="00771ADB" w:rsidRDefault="00771ADB" w:rsidP="007A35A7">
      <w:pPr>
        <w:rPr>
          <w:rFonts w:ascii="Arial" w:hAnsi="Arial" w:cs="Arial"/>
          <w:b/>
          <w:bCs/>
        </w:rPr>
      </w:pPr>
    </w:p>
    <w:p w14:paraId="163665E4" w14:textId="49584FEF" w:rsidR="00DB7724" w:rsidRDefault="00DB7724" w:rsidP="007A35A7">
      <w:pPr>
        <w:rPr>
          <w:rFonts w:ascii="Arial" w:hAnsi="Arial" w:cs="Arial"/>
        </w:rPr>
      </w:pPr>
      <w:r>
        <w:rPr>
          <w:rFonts w:ascii="Arial" w:hAnsi="Arial" w:cs="Arial"/>
          <w:b/>
          <w:bCs/>
        </w:rPr>
        <w:t>Executive Summary</w:t>
      </w:r>
    </w:p>
    <w:p w14:paraId="72CAB732" w14:textId="4D627783" w:rsidR="00DB7724" w:rsidRDefault="00DB7724" w:rsidP="007A35A7">
      <w:pPr>
        <w:rPr>
          <w:rFonts w:ascii="Arial" w:hAnsi="Arial" w:cs="Arial"/>
        </w:rPr>
      </w:pPr>
    </w:p>
    <w:p w14:paraId="770CF8AC" w14:textId="3F8BF7F0" w:rsidR="008047BA" w:rsidRDefault="008047BA" w:rsidP="008047BA">
      <w:pPr>
        <w:rPr>
          <w:rFonts w:ascii="Arial" w:hAnsi="Arial" w:cs="Arial"/>
          <w:b/>
          <w:szCs w:val="24"/>
        </w:rPr>
      </w:pPr>
      <w:r w:rsidRPr="00BF3111">
        <w:rPr>
          <w:rFonts w:ascii="Arial" w:hAnsi="Arial" w:cs="Arial"/>
          <w:b/>
          <w:szCs w:val="24"/>
        </w:rPr>
        <w:t>Introduction</w:t>
      </w:r>
    </w:p>
    <w:p w14:paraId="77B387AD" w14:textId="3D6901B7" w:rsidR="00771ADB" w:rsidRDefault="00771ADB" w:rsidP="008047BA">
      <w:pPr>
        <w:rPr>
          <w:rFonts w:ascii="Arial" w:hAnsi="Arial" w:cs="Arial"/>
          <w:b/>
          <w:szCs w:val="24"/>
        </w:rPr>
      </w:pPr>
    </w:p>
    <w:p w14:paraId="3AF712DE" w14:textId="77777777" w:rsidR="00771ADB" w:rsidRDefault="00771ADB" w:rsidP="000F2639">
      <w:pPr>
        <w:jc w:val="both"/>
        <w:rPr>
          <w:rFonts w:ascii="Arial" w:eastAsia="MS Mincho" w:hAnsi="Arial" w:cs="Arial"/>
          <w:lang w:eastAsia="ja-JP"/>
        </w:rPr>
      </w:pPr>
      <w:r w:rsidRPr="00510BE8">
        <w:rPr>
          <w:rFonts w:ascii="Arial" w:eastAsia="MS Mincho" w:hAnsi="Arial" w:cs="Arial"/>
          <w:lang w:eastAsia="ja-JP"/>
        </w:rPr>
        <w:t xml:space="preserve">As part of the Outpatient Transformation plan across Northern Lincolnshire, there are </w:t>
      </w:r>
      <w:proofErr w:type="gramStart"/>
      <w:r w:rsidRPr="00510BE8">
        <w:rPr>
          <w:rFonts w:ascii="Arial" w:eastAsia="MS Mincho" w:hAnsi="Arial" w:cs="Arial"/>
          <w:lang w:eastAsia="ja-JP"/>
        </w:rPr>
        <w:t>a number of</w:t>
      </w:r>
      <w:proofErr w:type="gramEnd"/>
      <w:r w:rsidRPr="00510BE8">
        <w:rPr>
          <w:rFonts w:ascii="Arial" w:eastAsia="MS Mincho" w:hAnsi="Arial" w:cs="Arial"/>
          <w:lang w:eastAsia="ja-JP"/>
        </w:rPr>
        <w:t xml:space="preserve"> pathways which will be redesigned, reducing the need for patients to attend a hospital appointment, but still require a level of monitoring which can be undertaken within primary care. In these cases, the additional activity will be covered by th</w:t>
      </w:r>
      <w:r>
        <w:rPr>
          <w:rFonts w:ascii="Arial" w:eastAsia="MS Mincho" w:hAnsi="Arial" w:cs="Arial"/>
          <w:lang w:eastAsia="ja-JP"/>
        </w:rPr>
        <w:t>e</w:t>
      </w:r>
      <w:r w:rsidRPr="00510BE8">
        <w:rPr>
          <w:rFonts w:ascii="Arial" w:eastAsia="MS Mincho" w:hAnsi="Arial" w:cs="Arial"/>
          <w:lang w:eastAsia="ja-JP"/>
        </w:rPr>
        <w:t xml:space="preserve"> shared care </w:t>
      </w:r>
      <w:r>
        <w:rPr>
          <w:rFonts w:ascii="Arial" w:eastAsia="MS Mincho" w:hAnsi="Arial" w:cs="Arial"/>
          <w:lang w:eastAsia="ja-JP"/>
        </w:rPr>
        <w:t>framework</w:t>
      </w:r>
      <w:r w:rsidRPr="00510BE8">
        <w:rPr>
          <w:rFonts w:ascii="Arial" w:eastAsia="MS Mincho" w:hAnsi="Arial" w:cs="Arial"/>
          <w:lang w:eastAsia="ja-JP"/>
        </w:rPr>
        <w:t xml:space="preserve">, including physical monitoring, blood sampling, prescribing of agreed amber drugs (as per the Northern Lincolnshire Area Prescribing Committee formulary) and administration of medications.  </w:t>
      </w:r>
    </w:p>
    <w:p w14:paraId="339B9382" w14:textId="77777777" w:rsidR="00771ADB" w:rsidRPr="00510BE8" w:rsidRDefault="00771ADB" w:rsidP="000F2639">
      <w:pPr>
        <w:jc w:val="both"/>
        <w:rPr>
          <w:rFonts w:ascii="Arial" w:eastAsia="MS Mincho" w:hAnsi="Arial" w:cs="Arial"/>
          <w:lang w:eastAsia="ja-JP"/>
        </w:rPr>
      </w:pPr>
    </w:p>
    <w:p w14:paraId="7276B94A" w14:textId="77777777" w:rsidR="00771ADB" w:rsidRDefault="00771ADB" w:rsidP="000F2639">
      <w:pPr>
        <w:jc w:val="both"/>
        <w:rPr>
          <w:rFonts w:ascii="Arial" w:hAnsi="Arial" w:cs="Arial"/>
        </w:rPr>
      </w:pPr>
      <w:r w:rsidRPr="00510BE8">
        <w:rPr>
          <w:rFonts w:ascii="Arial" w:hAnsi="Arial" w:cs="Arial"/>
        </w:rPr>
        <w:t>Th</w:t>
      </w:r>
      <w:r>
        <w:rPr>
          <w:rFonts w:ascii="Arial" w:hAnsi="Arial" w:cs="Arial"/>
        </w:rPr>
        <w:t xml:space="preserve">e </w:t>
      </w:r>
      <w:r w:rsidRPr="00510BE8">
        <w:rPr>
          <w:rFonts w:ascii="Arial" w:hAnsi="Arial" w:cs="Arial"/>
        </w:rPr>
        <w:t>specification was developed with the aim of adopting a generic shared care framework to enable alignment across NL/NEL and aims to have a consistent approach to shared care and associated payments, based on the level of resource required to deliver individual protocols.</w:t>
      </w:r>
    </w:p>
    <w:p w14:paraId="4FAF4EA2" w14:textId="77777777" w:rsidR="00771ADB" w:rsidRPr="00510BE8" w:rsidRDefault="00771ADB" w:rsidP="000F2639">
      <w:pPr>
        <w:jc w:val="both"/>
        <w:rPr>
          <w:rFonts w:ascii="Arial" w:hAnsi="Arial" w:cs="Arial"/>
        </w:rPr>
      </w:pPr>
    </w:p>
    <w:p w14:paraId="13687558" w14:textId="77777777" w:rsidR="00771ADB" w:rsidRDefault="00771ADB" w:rsidP="000F2639">
      <w:pPr>
        <w:jc w:val="both"/>
        <w:rPr>
          <w:rFonts w:ascii="Arial" w:eastAsia="Times New Roman" w:hAnsi="Arial" w:cs="Arial"/>
          <w:lang w:eastAsia="en-GB"/>
        </w:rPr>
      </w:pPr>
      <w:r w:rsidRPr="00510BE8">
        <w:rPr>
          <w:rFonts w:ascii="Arial" w:eastAsia="Times New Roman" w:hAnsi="Arial" w:cs="Arial"/>
          <w:lang w:eastAsia="en-GB"/>
        </w:rPr>
        <w:t xml:space="preserve">Since these pathways are heavily reliant on the shared care arrangements between primary and secondary care in Northern Lincolnshire, NL &amp; NEL CCGs have determined that this is a service that should be contracted at Primary Care Network level and provided within a GP practice environment. </w:t>
      </w:r>
    </w:p>
    <w:p w14:paraId="296A784D" w14:textId="77777777" w:rsidR="00771ADB" w:rsidRPr="00510BE8" w:rsidRDefault="00771ADB" w:rsidP="000F2639">
      <w:pPr>
        <w:jc w:val="both"/>
        <w:rPr>
          <w:rFonts w:ascii="Arial" w:hAnsi="Arial" w:cs="Arial"/>
        </w:rPr>
      </w:pPr>
    </w:p>
    <w:p w14:paraId="7495F8D0" w14:textId="77777777" w:rsidR="00771ADB" w:rsidRDefault="00771ADB" w:rsidP="000F2639">
      <w:pPr>
        <w:jc w:val="both"/>
        <w:rPr>
          <w:rFonts w:ascii="Arial" w:hAnsi="Arial" w:cs="Arial"/>
        </w:rPr>
      </w:pPr>
      <w:r w:rsidRPr="00510BE8">
        <w:rPr>
          <w:rFonts w:ascii="Arial" w:hAnsi="Arial" w:cs="Arial"/>
        </w:rPr>
        <w:t xml:space="preserve">The pathways and drugs covered by this agreement will be reviewed on a bi-monthly basis and amended, if necessary, based on changes to existing shared care guidelines and the introduction of new shared care guidelines following agreement by the Primary and Secondary Care Interface Group and other relevant bodies.  </w:t>
      </w:r>
    </w:p>
    <w:p w14:paraId="38773168" w14:textId="77777777" w:rsidR="00771ADB" w:rsidRPr="00510BE8" w:rsidRDefault="00771ADB" w:rsidP="000F2639">
      <w:pPr>
        <w:jc w:val="both"/>
        <w:rPr>
          <w:rFonts w:ascii="Arial" w:hAnsi="Arial" w:cs="Arial"/>
        </w:rPr>
      </w:pPr>
    </w:p>
    <w:p w14:paraId="0073ABB7" w14:textId="125EDE4C" w:rsidR="00771ADB" w:rsidRDefault="00771ADB" w:rsidP="000F2639">
      <w:pPr>
        <w:jc w:val="both"/>
        <w:rPr>
          <w:rFonts w:ascii="Arial" w:hAnsi="Arial" w:cs="Arial"/>
          <w:b/>
          <w:szCs w:val="24"/>
        </w:rPr>
      </w:pPr>
      <w:r w:rsidRPr="00510BE8">
        <w:rPr>
          <w:rFonts w:ascii="Arial" w:hAnsi="Arial" w:cs="Arial"/>
        </w:rPr>
        <w:t>This paper details the specification</w:t>
      </w:r>
      <w:r>
        <w:rPr>
          <w:rFonts w:ascii="Arial" w:hAnsi="Arial" w:cs="Arial"/>
        </w:rPr>
        <w:t xml:space="preserve"> and proposed tariff payments</w:t>
      </w:r>
      <w:r w:rsidRPr="00510BE8">
        <w:rPr>
          <w:rFonts w:ascii="Arial" w:hAnsi="Arial" w:cs="Arial"/>
        </w:rPr>
        <w:t xml:space="preserve"> for the generic shared care framework for implementation across the North/</w:t>
      </w:r>
      <w:proofErr w:type="gramStart"/>
      <w:r w:rsidRPr="00510BE8">
        <w:rPr>
          <w:rFonts w:ascii="Arial" w:hAnsi="Arial" w:cs="Arial"/>
        </w:rPr>
        <w:t>North East</w:t>
      </w:r>
      <w:proofErr w:type="gramEnd"/>
      <w:r w:rsidRPr="00510BE8">
        <w:rPr>
          <w:rFonts w:ascii="Arial" w:hAnsi="Arial" w:cs="Arial"/>
        </w:rPr>
        <w:t xml:space="preserve"> Lincolnshire population.</w:t>
      </w:r>
    </w:p>
    <w:p w14:paraId="5861B553" w14:textId="03B60E9C" w:rsidR="00572836" w:rsidRDefault="00572836" w:rsidP="00DE14E2">
      <w:pPr>
        <w:jc w:val="both"/>
        <w:rPr>
          <w:rFonts w:ascii="Arial" w:hAnsi="Arial" w:cs="Arial"/>
        </w:rPr>
      </w:pPr>
    </w:p>
    <w:p w14:paraId="1375E79F" w14:textId="5E869CF1" w:rsidR="008D383A" w:rsidRDefault="008D383A" w:rsidP="008D383A">
      <w:pPr>
        <w:widowControl w:val="0"/>
        <w:tabs>
          <w:tab w:val="left" w:pos="743"/>
        </w:tabs>
        <w:rPr>
          <w:rFonts w:ascii="Arial" w:eastAsia="Times New Roman" w:hAnsi="Arial" w:cs="Arial"/>
          <w:b/>
          <w:bCs/>
          <w:lang w:eastAsia="en-GB"/>
        </w:rPr>
      </w:pPr>
      <w:r w:rsidRPr="00093384">
        <w:rPr>
          <w:rFonts w:ascii="Arial" w:eastAsia="Times New Roman" w:hAnsi="Arial" w:cs="Arial"/>
          <w:b/>
          <w:bCs/>
          <w:lang w:eastAsia="en-GB"/>
        </w:rPr>
        <w:t>Aims and Objectives of the Framework</w:t>
      </w:r>
    </w:p>
    <w:p w14:paraId="6D3FAA81" w14:textId="77777777" w:rsidR="000F2639" w:rsidRPr="00093384" w:rsidRDefault="000F2639" w:rsidP="008D383A">
      <w:pPr>
        <w:widowControl w:val="0"/>
        <w:tabs>
          <w:tab w:val="left" w:pos="743"/>
        </w:tabs>
        <w:rPr>
          <w:rFonts w:ascii="Arial" w:eastAsia="Times New Roman" w:hAnsi="Arial" w:cs="Arial"/>
          <w:b/>
          <w:bCs/>
          <w:lang w:eastAsia="en-GB"/>
        </w:rPr>
      </w:pPr>
    </w:p>
    <w:p w14:paraId="2D437FBA" w14:textId="77777777" w:rsidR="008D383A" w:rsidRPr="00093384" w:rsidRDefault="008D383A" w:rsidP="00274E0E">
      <w:pPr>
        <w:widowControl w:val="0"/>
        <w:tabs>
          <w:tab w:val="left" w:pos="743"/>
        </w:tabs>
        <w:jc w:val="both"/>
        <w:rPr>
          <w:rFonts w:ascii="Arial" w:eastAsia="MS Mincho" w:hAnsi="Arial" w:cs="Arial"/>
          <w:bCs/>
          <w:lang w:eastAsia="ja-JP"/>
        </w:rPr>
      </w:pPr>
      <w:r w:rsidRPr="00093384">
        <w:rPr>
          <w:rFonts w:ascii="Arial" w:eastAsia="MS Mincho" w:hAnsi="Arial" w:cs="Arial"/>
          <w:bCs/>
          <w:lang w:eastAsia="ja-JP"/>
        </w:rPr>
        <w:t>The CCG wishes to commission services for registered patients who require monitoring in primary care under agreed shared care guideline arrangements with secondary care providers. This may involve the taking of bloods and other tests or examinations at pre-determined intervals.  The framework consists of 4 intervention levels:</w:t>
      </w:r>
    </w:p>
    <w:p w14:paraId="1187C88E" w14:textId="1A5B64CC" w:rsidR="008D383A" w:rsidRDefault="008D383A" w:rsidP="008D383A">
      <w:pPr>
        <w:widowControl w:val="0"/>
        <w:tabs>
          <w:tab w:val="left" w:pos="743"/>
        </w:tabs>
        <w:rPr>
          <w:rFonts w:ascii="Arial" w:eastAsia="MS Mincho" w:hAnsi="Arial" w:cs="Arial"/>
          <w:bCs/>
          <w:lang w:eastAsia="ja-JP"/>
        </w:rPr>
      </w:pPr>
    </w:p>
    <w:p w14:paraId="2E725824" w14:textId="77777777" w:rsidR="005F0030" w:rsidRPr="000D17BA" w:rsidRDefault="005F0030" w:rsidP="005F0030">
      <w:pPr>
        <w:widowControl w:val="0"/>
        <w:ind w:left="743" w:hanging="743"/>
        <w:rPr>
          <w:rFonts w:ascii="Arial" w:eastAsia="MS Mincho" w:hAnsi="Arial" w:cs="Arial"/>
          <w:color w:val="FF0000"/>
          <w:sz w:val="20"/>
          <w:szCs w:val="20"/>
          <w:lang w:eastAsia="ja-JP"/>
        </w:rPr>
      </w:pPr>
    </w:p>
    <w:p w14:paraId="73AC2156" w14:textId="77777777" w:rsidR="005F0030" w:rsidRPr="000D17BA" w:rsidRDefault="005F0030" w:rsidP="005F0030">
      <w:pPr>
        <w:widowControl w:val="0"/>
        <w:numPr>
          <w:ilvl w:val="0"/>
          <w:numId w:val="39"/>
        </w:numPr>
        <w:suppressAutoHyphens/>
        <w:jc w:val="both"/>
        <w:rPr>
          <w:rFonts w:ascii="Arial" w:eastAsia="Times New Roman" w:hAnsi="Arial" w:cs="Arial"/>
          <w:sz w:val="20"/>
          <w:szCs w:val="20"/>
          <w:lang w:eastAsia="en-GB"/>
        </w:rPr>
      </w:pPr>
      <w:r w:rsidRPr="000D17BA">
        <w:rPr>
          <w:rFonts w:ascii="Arial" w:eastAsia="Times New Roman" w:hAnsi="Arial" w:cs="Arial"/>
          <w:b/>
          <w:sz w:val="20"/>
          <w:szCs w:val="20"/>
          <w:lang w:eastAsia="en-GB"/>
        </w:rPr>
        <w:t>Level 1</w:t>
      </w:r>
      <w:r w:rsidRPr="000D17BA">
        <w:rPr>
          <w:rFonts w:ascii="Arial" w:eastAsia="Times New Roman" w:hAnsi="Arial" w:cs="Arial"/>
          <w:sz w:val="20"/>
          <w:szCs w:val="20"/>
          <w:lang w:eastAsia="en-GB"/>
        </w:rPr>
        <w:t xml:space="preserve"> - The provider works within the shared-care guidelines to issue prescriptions but outsources sampling, testing, and dosing although these may not always be required.   </w:t>
      </w:r>
      <w:r>
        <w:rPr>
          <w:rFonts w:ascii="Arial" w:eastAsia="Times New Roman" w:hAnsi="Arial" w:cs="Arial"/>
          <w:sz w:val="20"/>
          <w:szCs w:val="20"/>
          <w:lang w:eastAsia="en-GB"/>
        </w:rPr>
        <w:t xml:space="preserve">Reimbursed at </w:t>
      </w:r>
      <w:r w:rsidRPr="00432F8E">
        <w:rPr>
          <w:rFonts w:ascii="Arial" w:eastAsia="Times New Roman" w:hAnsi="Arial" w:cs="Arial"/>
          <w:b/>
          <w:bCs/>
          <w:sz w:val="20"/>
          <w:szCs w:val="20"/>
          <w:lang w:eastAsia="en-GB"/>
        </w:rPr>
        <w:t>£6.80 per patient per annum</w:t>
      </w:r>
    </w:p>
    <w:p w14:paraId="2D87CC4A" w14:textId="77777777" w:rsidR="005F0030" w:rsidRPr="000D17BA" w:rsidRDefault="005F0030" w:rsidP="005F0030">
      <w:pPr>
        <w:widowControl w:val="0"/>
        <w:ind w:left="1800"/>
        <w:jc w:val="both"/>
        <w:rPr>
          <w:rFonts w:ascii="Arial" w:eastAsia="Times New Roman" w:hAnsi="Arial" w:cs="Arial"/>
          <w:b/>
          <w:sz w:val="20"/>
          <w:szCs w:val="20"/>
          <w:lang w:eastAsia="en-GB"/>
        </w:rPr>
      </w:pPr>
    </w:p>
    <w:p w14:paraId="4DB50A06" w14:textId="77777777" w:rsidR="005F0030" w:rsidRPr="00432F8E" w:rsidRDefault="005F0030" w:rsidP="005F0030">
      <w:pPr>
        <w:widowControl w:val="0"/>
        <w:numPr>
          <w:ilvl w:val="0"/>
          <w:numId w:val="39"/>
        </w:numPr>
        <w:suppressAutoHyphens/>
        <w:jc w:val="both"/>
        <w:rPr>
          <w:rFonts w:ascii="Arial" w:eastAsia="Times New Roman" w:hAnsi="Arial" w:cs="Arial"/>
          <w:b/>
          <w:bCs/>
          <w:sz w:val="20"/>
          <w:szCs w:val="20"/>
          <w:lang w:eastAsia="en-GB"/>
        </w:rPr>
      </w:pPr>
      <w:r w:rsidRPr="000D17BA">
        <w:rPr>
          <w:rFonts w:ascii="Arial" w:eastAsia="Times New Roman" w:hAnsi="Arial" w:cs="Arial"/>
          <w:b/>
          <w:sz w:val="20"/>
          <w:szCs w:val="20"/>
          <w:lang w:eastAsia="en-GB"/>
        </w:rPr>
        <w:t>Level 2</w:t>
      </w:r>
      <w:r w:rsidRPr="000D17BA">
        <w:rPr>
          <w:rFonts w:ascii="Arial" w:eastAsia="Times New Roman" w:hAnsi="Arial" w:cs="Arial"/>
          <w:sz w:val="20"/>
          <w:szCs w:val="20"/>
          <w:lang w:eastAsia="en-GB"/>
        </w:rPr>
        <w:t xml:space="preserve"> – The provider works within the shared care guideline by undertaking blood monitoring </w:t>
      </w:r>
      <w:r w:rsidRPr="000D17BA">
        <w:rPr>
          <w:rFonts w:ascii="Arial" w:eastAsia="Times New Roman" w:hAnsi="Arial" w:cs="Arial"/>
          <w:b/>
          <w:bCs/>
          <w:sz w:val="20"/>
          <w:szCs w:val="20"/>
          <w:lang w:eastAsia="en-GB"/>
        </w:rPr>
        <w:t>OR</w:t>
      </w:r>
      <w:r w:rsidRPr="000D17BA">
        <w:rPr>
          <w:rFonts w:ascii="Arial" w:eastAsia="Times New Roman" w:hAnsi="Arial" w:cs="Arial"/>
          <w:sz w:val="20"/>
          <w:szCs w:val="20"/>
          <w:lang w:eastAsia="en-GB"/>
        </w:rPr>
        <w:t xml:space="preserve"> physical health check (involves arranging Blood tests or other tests, reviewing results, actioning </w:t>
      </w:r>
      <w:proofErr w:type="gramStart"/>
      <w:r w:rsidRPr="000D17BA">
        <w:rPr>
          <w:rFonts w:ascii="Arial" w:eastAsia="Times New Roman" w:hAnsi="Arial" w:cs="Arial"/>
          <w:sz w:val="20"/>
          <w:szCs w:val="20"/>
          <w:lang w:eastAsia="en-GB"/>
        </w:rPr>
        <w:t>results</w:t>
      </w:r>
      <w:proofErr w:type="gramEnd"/>
      <w:r w:rsidRPr="000D17BA">
        <w:rPr>
          <w:rFonts w:ascii="Arial" w:eastAsia="Times New Roman" w:hAnsi="Arial" w:cs="Arial"/>
          <w:sz w:val="20"/>
          <w:szCs w:val="20"/>
          <w:lang w:eastAsia="en-GB"/>
        </w:rPr>
        <w:t xml:space="preserve"> or undertaking physical check) +/- prescribing</w:t>
      </w:r>
      <w:r>
        <w:rPr>
          <w:rFonts w:ascii="Arial" w:eastAsia="Times New Roman" w:hAnsi="Arial" w:cs="Arial"/>
          <w:sz w:val="20"/>
          <w:szCs w:val="20"/>
          <w:lang w:eastAsia="en-GB"/>
        </w:rPr>
        <w:t xml:space="preserve">. </w:t>
      </w:r>
      <w:r w:rsidRPr="00432F8E">
        <w:rPr>
          <w:rFonts w:ascii="Arial" w:eastAsia="Times New Roman" w:hAnsi="Arial" w:cs="Arial"/>
          <w:b/>
          <w:bCs/>
          <w:sz w:val="20"/>
          <w:szCs w:val="20"/>
          <w:lang w:eastAsia="en-GB"/>
        </w:rPr>
        <w:t xml:space="preserve">Reimbursed at £31.04 per patient per annum  </w:t>
      </w:r>
    </w:p>
    <w:p w14:paraId="354E6B89" w14:textId="77777777" w:rsidR="005F0030" w:rsidRPr="000D17BA" w:rsidRDefault="005F0030" w:rsidP="005F0030">
      <w:pPr>
        <w:widowControl w:val="0"/>
        <w:jc w:val="both"/>
        <w:rPr>
          <w:rFonts w:ascii="Arial" w:eastAsia="Times New Roman" w:hAnsi="Arial" w:cs="Arial"/>
          <w:sz w:val="20"/>
          <w:szCs w:val="20"/>
          <w:lang w:eastAsia="en-GB"/>
        </w:rPr>
      </w:pPr>
    </w:p>
    <w:p w14:paraId="1C803B11" w14:textId="77777777" w:rsidR="005F0030" w:rsidRPr="00432F8E" w:rsidRDefault="005F0030" w:rsidP="005F0030">
      <w:pPr>
        <w:widowControl w:val="0"/>
        <w:numPr>
          <w:ilvl w:val="0"/>
          <w:numId w:val="39"/>
        </w:numPr>
        <w:suppressAutoHyphens/>
        <w:jc w:val="both"/>
        <w:rPr>
          <w:rFonts w:ascii="Arial" w:eastAsia="Times New Roman" w:hAnsi="Arial" w:cs="Arial"/>
          <w:b/>
          <w:bCs/>
          <w:sz w:val="20"/>
          <w:szCs w:val="20"/>
          <w:lang w:eastAsia="en-GB"/>
        </w:rPr>
      </w:pPr>
      <w:r w:rsidRPr="000D17BA">
        <w:rPr>
          <w:rFonts w:ascii="Arial" w:eastAsia="Times New Roman" w:hAnsi="Arial" w:cs="Arial"/>
          <w:b/>
          <w:bCs/>
          <w:sz w:val="20"/>
          <w:szCs w:val="20"/>
          <w:lang w:eastAsia="en-GB"/>
        </w:rPr>
        <w:t>Level 3</w:t>
      </w:r>
      <w:r w:rsidRPr="000D17BA">
        <w:rPr>
          <w:rFonts w:ascii="Arial" w:eastAsia="Times New Roman" w:hAnsi="Arial" w:cs="Arial"/>
          <w:sz w:val="20"/>
          <w:szCs w:val="20"/>
          <w:lang w:eastAsia="en-GB"/>
        </w:rPr>
        <w:t xml:space="preserve"> – The provider works within the shared care guideline to undertake full monitoring of patient, </w:t>
      </w:r>
      <w:proofErr w:type="gramStart"/>
      <w:r w:rsidRPr="000D17BA">
        <w:rPr>
          <w:rFonts w:ascii="Arial" w:eastAsia="Times New Roman" w:hAnsi="Arial" w:cs="Arial"/>
          <w:sz w:val="20"/>
          <w:szCs w:val="20"/>
          <w:lang w:eastAsia="en-GB"/>
        </w:rPr>
        <w:t>i.e.</w:t>
      </w:r>
      <w:proofErr w:type="gramEnd"/>
      <w:r w:rsidRPr="000D17BA">
        <w:rPr>
          <w:rFonts w:ascii="Arial" w:eastAsia="Times New Roman" w:hAnsi="Arial" w:cs="Arial"/>
          <w:sz w:val="20"/>
          <w:szCs w:val="20"/>
          <w:lang w:eastAsia="en-GB"/>
        </w:rPr>
        <w:t xml:space="preserve"> Blood tests and physiological monitoring +/- prescribing and administration of drugs where required Where prescribing is required this needs continued prescribing with regular blood tests and physical review alongside.  </w:t>
      </w:r>
      <w:r w:rsidRPr="00432F8E">
        <w:rPr>
          <w:rFonts w:ascii="Arial" w:eastAsia="Times New Roman" w:hAnsi="Arial" w:cs="Arial"/>
          <w:b/>
          <w:bCs/>
          <w:sz w:val="20"/>
          <w:szCs w:val="20"/>
          <w:lang w:eastAsia="en-GB"/>
        </w:rPr>
        <w:t>Reimbursed at £</w:t>
      </w:r>
      <w:r>
        <w:rPr>
          <w:rFonts w:ascii="Arial" w:eastAsia="Times New Roman" w:hAnsi="Arial" w:cs="Arial"/>
          <w:b/>
          <w:bCs/>
          <w:sz w:val="20"/>
          <w:szCs w:val="20"/>
          <w:lang w:eastAsia="en-GB"/>
        </w:rPr>
        <w:t>94.24</w:t>
      </w:r>
      <w:r w:rsidRPr="00432F8E">
        <w:rPr>
          <w:rFonts w:ascii="Arial" w:eastAsia="Times New Roman" w:hAnsi="Arial" w:cs="Arial"/>
          <w:b/>
          <w:bCs/>
          <w:sz w:val="20"/>
          <w:szCs w:val="20"/>
          <w:lang w:eastAsia="en-GB"/>
        </w:rPr>
        <w:t xml:space="preserve"> per patient per annum  </w:t>
      </w:r>
    </w:p>
    <w:p w14:paraId="7E66BBE9" w14:textId="77777777" w:rsidR="005F0030" w:rsidRPr="000D17BA" w:rsidRDefault="005F0030" w:rsidP="005F0030">
      <w:pPr>
        <w:widowControl w:val="0"/>
        <w:ind w:left="1800"/>
        <w:jc w:val="both"/>
        <w:rPr>
          <w:rFonts w:ascii="Arial" w:eastAsia="Times New Roman" w:hAnsi="Arial" w:cs="Arial"/>
          <w:sz w:val="20"/>
          <w:szCs w:val="20"/>
          <w:lang w:eastAsia="en-GB"/>
        </w:rPr>
      </w:pPr>
    </w:p>
    <w:p w14:paraId="4643D773" w14:textId="77777777" w:rsidR="005F0030" w:rsidRPr="000D17BA" w:rsidRDefault="005F0030" w:rsidP="005F0030">
      <w:pPr>
        <w:widowControl w:val="0"/>
        <w:ind w:left="1800"/>
        <w:jc w:val="both"/>
        <w:rPr>
          <w:rFonts w:ascii="Arial" w:eastAsia="Times New Roman" w:hAnsi="Arial" w:cs="Arial"/>
          <w:sz w:val="20"/>
          <w:szCs w:val="20"/>
          <w:lang w:eastAsia="en-GB"/>
        </w:rPr>
      </w:pPr>
    </w:p>
    <w:p w14:paraId="33AD2FB8" w14:textId="77777777" w:rsidR="005F0030" w:rsidRPr="000D17BA" w:rsidRDefault="005F0030" w:rsidP="005F0030">
      <w:pPr>
        <w:widowControl w:val="0"/>
        <w:numPr>
          <w:ilvl w:val="0"/>
          <w:numId w:val="39"/>
        </w:numPr>
        <w:suppressAutoHyphens/>
        <w:jc w:val="both"/>
        <w:rPr>
          <w:rFonts w:ascii="Arial" w:eastAsia="Times New Roman" w:hAnsi="Arial" w:cs="Arial"/>
          <w:sz w:val="20"/>
          <w:szCs w:val="20"/>
          <w:lang w:eastAsia="en-GB"/>
        </w:rPr>
      </w:pPr>
      <w:r w:rsidRPr="000D17BA">
        <w:rPr>
          <w:rFonts w:ascii="Arial" w:eastAsia="Times New Roman" w:hAnsi="Arial" w:cs="Arial"/>
          <w:b/>
          <w:sz w:val="20"/>
          <w:szCs w:val="20"/>
          <w:lang w:eastAsia="en-GB"/>
        </w:rPr>
        <w:t>Level 4</w:t>
      </w:r>
      <w:r w:rsidRPr="000D17BA">
        <w:rPr>
          <w:rFonts w:ascii="Arial" w:eastAsia="Times New Roman" w:hAnsi="Arial" w:cs="Arial"/>
          <w:sz w:val="20"/>
          <w:szCs w:val="20"/>
          <w:lang w:eastAsia="en-GB"/>
        </w:rPr>
        <w:t xml:space="preserve"> - This would cover more bespoke arrangements by specialty, </w:t>
      </w:r>
      <w:proofErr w:type="gramStart"/>
      <w:r w:rsidRPr="000D17BA">
        <w:rPr>
          <w:rFonts w:ascii="Arial" w:eastAsia="Times New Roman" w:hAnsi="Arial" w:cs="Arial"/>
          <w:sz w:val="20"/>
          <w:szCs w:val="20"/>
          <w:lang w:eastAsia="en-GB"/>
        </w:rPr>
        <w:t>e.g.</w:t>
      </w:r>
      <w:proofErr w:type="gramEnd"/>
      <w:r w:rsidRPr="000D17BA">
        <w:rPr>
          <w:rFonts w:ascii="Arial" w:eastAsia="Times New Roman" w:hAnsi="Arial" w:cs="Arial"/>
          <w:sz w:val="20"/>
          <w:szCs w:val="20"/>
          <w:lang w:eastAsia="en-GB"/>
        </w:rPr>
        <w:t xml:space="preserve"> Complete change to pathway that means patient is managed completely differently within primary care setting (with link back to Consultant where necessary). </w:t>
      </w:r>
      <w:r w:rsidRPr="008924CE">
        <w:rPr>
          <w:rFonts w:ascii="Arial" w:eastAsia="Times New Roman" w:hAnsi="Arial" w:cs="Arial"/>
          <w:b/>
          <w:bCs/>
          <w:sz w:val="20"/>
          <w:szCs w:val="20"/>
          <w:lang w:eastAsia="en-GB"/>
        </w:rPr>
        <w:t>Payment would vary depending on pathway</w:t>
      </w:r>
      <w:r w:rsidRPr="000D17BA">
        <w:rPr>
          <w:rFonts w:ascii="Arial" w:eastAsia="Times New Roman" w:hAnsi="Arial" w:cs="Arial"/>
          <w:sz w:val="20"/>
          <w:szCs w:val="20"/>
          <w:lang w:eastAsia="en-GB"/>
        </w:rPr>
        <w:t xml:space="preserve">.  </w:t>
      </w:r>
    </w:p>
    <w:p w14:paraId="1083E199" w14:textId="77777777" w:rsidR="005F0030" w:rsidRPr="00093384" w:rsidRDefault="005F0030" w:rsidP="008D383A">
      <w:pPr>
        <w:widowControl w:val="0"/>
        <w:tabs>
          <w:tab w:val="left" w:pos="743"/>
        </w:tabs>
        <w:rPr>
          <w:rFonts w:ascii="Arial" w:eastAsia="MS Mincho" w:hAnsi="Arial" w:cs="Arial"/>
          <w:bCs/>
          <w:lang w:eastAsia="ja-JP"/>
        </w:rPr>
      </w:pPr>
    </w:p>
    <w:p w14:paraId="0B44B550" w14:textId="6CB5AF69" w:rsidR="008D383A" w:rsidRDefault="008D383A" w:rsidP="008D383A">
      <w:pPr>
        <w:widowControl w:val="0"/>
        <w:suppressAutoHyphens/>
        <w:jc w:val="both"/>
        <w:rPr>
          <w:rFonts w:ascii="Arial" w:eastAsia="Times New Roman" w:hAnsi="Arial" w:cs="Arial"/>
          <w:sz w:val="20"/>
          <w:szCs w:val="20"/>
          <w:lang w:eastAsia="en-GB"/>
        </w:rPr>
      </w:pPr>
    </w:p>
    <w:p w14:paraId="0BEAA2C8" w14:textId="77777777" w:rsidR="007A1702" w:rsidRDefault="007A1702" w:rsidP="008D383A">
      <w:pPr>
        <w:widowControl w:val="0"/>
        <w:suppressAutoHyphens/>
        <w:jc w:val="both"/>
        <w:rPr>
          <w:rFonts w:ascii="Arial" w:eastAsia="Times New Roman" w:hAnsi="Arial" w:cs="Arial"/>
          <w:sz w:val="20"/>
          <w:szCs w:val="20"/>
          <w:lang w:eastAsia="en-GB"/>
        </w:rPr>
      </w:pPr>
    </w:p>
    <w:p w14:paraId="42B10F3B" w14:textId="77777777" w:rsidR="007A1702" w:rsidRDefault="007A1702" w:rsidP="008D383A">
      <w:pPr>
        <w:widowControl w:val="0"/>
        <w:suppressAutoHyphens/>
        <w:jc w:val="both"/>
        <w:rPr>
          <w:rFonts w:ascii="Arial" w:eastAsia="Times New Roman" w:hAnsi="Arial" w:cs="Arial"/>
          <w:sz w:val="20"/>
          <w:szCs w:val="20"/>
          <w:lang w:eastAsia="en-GB"/>
        </w:rPr>
      </w:pPr>
    </w:p>
    <w:p w14:paraId="6E84B80D" w14:textId="77777777" w:rsidR="007A1702" w:rsidRDefault="007A1702" w:rsidP="008D383A">
      <w:pPr>
        <w:widowControl w:val="0"/>
        <w:suppressAutoHyphens/>
        <w:jc w:val="both"/>
        <w:rPr>
          <w:rFonts w:ascii="Arial" w:eastAsia="Times New Roman" w:hAnsi="Arial" w:cs="Arial"/>
          <w:sz w:val="20"/>
          <w:szCs w:val="20"/>
          <w:lang w:eastAsia="en-GB"/>
        </w:rPr>
      </w:pPr>
    </w:p>
    <w:p w14:paraId="2E15E032" w14:textId="77777777" w:rsidR="007A1702" w:rsidRDefault="007A1702" w:rsidP="008D383A">
      <w:pPr>
        <w:widowControl w:val="0"/>
        <w:suppressAutoHyphens/>
        <w:jc w:val="both"/>
        <w:rPr>
          <w:rFonts w:ascii="Arial" w:eastAsia="Times New Roman" w:hAnsi="Arial" w:cs="Arial"/>
          <w:sz w:val="20"/>
          <w:szCs w:val="20"/>
          <w:lang w:eastAsia="en-GB"/>
        </w:rPr>
      </w:pPr>
    </w:p>
    <w:p w14:paraId="11173B45" w14:textId="7495B38B" w:rsidR="005F0030" w:rsidRPr="00AA7658" w:rsidRDefault="00923463" w:rsidP="00AA7658">
      <w:pPr>
        <w:pStyle w:val="NormalWeb"/>
        <w:spacing w:before="0" w:beforeAutospacing="0" w:after="0" w:afterAutospacing="0"/>
        <w:jc w:val="both"/>
        <w:rPr>
          <w:rFonts w:ascii="Arial" w:hAnsi="Arial" w:cs="Arial"/>
          <w:sz w:val="22"/>
          <w:szCs w:val="22"/>
        </w:rPr>
      </w:pPr>
      <w:r w:rsidRPr="00AA7658">
        <w:rPr>
          <w:rFonts w:ascii="Arial" w:hAnsi="Arial" w:cs="Arial"/>
          <w:sz w:val="22"/>
          <w:szCs w:val="22"/>
        </w:rPr>
        <w:t xml:space="preserve">The </w:t>
      </w:r>
      <w:proofErr w:type="gramStart"/>
      <w:r w:rsidRPr="00AA7658">
        <w:rPr>
          <w:rFonts w:ascii="Arial" w:hAnsi="Arial" w:cs="Arial"/>
          <w:sz w:val="22"/>
          <w:szCs w:val="22"/>
        </w:rPr>
        <w:t>full service</w:t>
      </w:r>
      <w:proofErr w:type="gramEnd"/>
      <w:r w:rsidRPr="00AA7658">
        <w:rPr>
          <w:rFonts w:ascii="Arial" w:hAnsi="Arial" w:cs="Arial"/>
          <w:sz w:val="22"/>
          <w:szCs w:val="22"/>
        </w:rPr>
        <w:t xml:space="preserve"> specification is embedded here.</w:t>
      </w:r>
    </w:p>
    <w:p w14:paraId="2C9EBE39" w14:textId="60F458DC" w:rsidR="00923463" w:rsidRDefault="00923463" w:rsidP="008D383A">
      <w:pPr>
        <w:widowControl w:val="0"/>
        <w:suppressAutoHyphens/>
        <w:jc w:val="both"/>
        <w:rPr>
          <w:rFonts w:ascii="Arial" w:eastAsia="Times New Roman" w:hAnsi="Arial" w:cs="Arial"/>
          <w:sz w:val="20"/>
          <w:szCs w:val="20"/>
          <w:lang w:eastAsia="en-GB"/>
        </w:rPr>
      </w:pPr>
    </w:p>
    <w:bookmarkStart w:id="0" w:name="_MON_1688566517"/>
    <w:bookmarkEnd w:id="0"/>
    <w:p w14:paraId="1901ED0E" w14:textId="7E18DB21" w:rsidR="00923463" w:rsidRDefault="007A1702" w:rsidP="008D383A">
      <w:pPr>
        <w:widowControl w:val="0"/>
        <w:suppressAutoHyphens/>
        <w:jc w:val="both"/>
        <w:rPr>
          <w:rFonts w:ascii="Arial" w:eastAsia="Times New Roman" w:hAnsi="Arial" w:cs="Arial"/>
          <w:sz w:val="20"/>
          <w:szCs w:val="20"/>
          <w:lang w:eastAsia="en-GB"/>
        </w:rPr>
      </w:pPr>
      <w:r>
        <w:rPr>
          <w:rFonts w:ascii="Arial" w:eastAsia="Times New Roman" w:hAnsi="Arial" w:cs="Arial"/>
          <w:sz w:val="20"/>
          <w:szCs w:val="20"/>
          <w:lang w:eastAsia="en-GB"/>
        </w:rPr>
        <w:object w:dxaOrig="1516" w:dyaOrig="987" w14:anchorId="1A9B8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10" o:title=""/>
          </v:shape>
          <o:OLEObject Type="Embed" ProgID="Word.Document.12" ShapeID="_x0000_i1025" DrawAspect="Icon" ObjectID="_1689497357" r:id="rId11">
            <o:FieldCodes>\s</o:FieldCodes>
          </o:OLEObject>
        </w:object>
      </w:r>
    </w:p>
    <w:p w14:paraId="756993EC" w14:textId="6E5CC3E3" w:rsidR="005F0030" w:rsidRDefault="005F0030" w:rsidP="008D383A">
      <w:pPr>
        <w:widowControl w:val="0"/>
        <w:suppressAutoHyphens/>
        <w:jc w:val="both"/>
        <w:rPr>
          <w:rFonts w:ascii="Arial" w:eastAsia="Times New Roman" w:hAnsi="Arial" w:cs="Arial"/>
          <w:sz w:val="20"/>
          <w:szCs w:val="20"/>
          <w:lang w:eastAsia="en-GB"/>
        </w:rPr>
      </w:pPr>
    </w:p>
    <w:p w14:paraId="77D3BEBE" w14:textId="114972CA" w:rsidR="005F0030" w:rsidRDefault="005F0030" w:rsidP="008D383A">
      <w:pPr>
        <w:widowControl w:val="0"/>
        <w:suppressAutoHyphens/>
        <w:jc w:val="both"/>
        <w:rPr>
          <w:rFonts w:ascii="Arial" w:eastAsia="Times New Roman" w:hAnsi="Arial" w:cs="Arial"/>
          <w:sz w:val="20"/>
          <w:szCs w:val="20"/>
          <w:lang w:eastAsia="en-GB"/>
        </w:rPr>
      </w:pPr>
    </w:p>
    <w:p w14:paraId="49C57B49" w14:textId="77777777" w:rsidR="005F0030" w:rsidRPr="000D17BA" w:rsidRDefault="005F0030" w:rsidP="008D383A">
      <w:pPr>
        <w:widowControl w:val="0"/>
        <w:suppressAutoHyphens/>
        <w:jc w:val="both"/>
        <w:rPr>
          <w:rFonts w:ascii="Arial" w:eastAsia="Times New Roman" w:hAnsi="Arial" w:cs="Arial"/>
          <w:sz w:val="20"/>
          <w:szCs w:val="20"/>
          <w:lang w:eastAsia="en-GB"/>
        </w:rPr>
      </w:pPr>
    </w:p>
    <w:p w14:paraId="7A5B165D" w14:textId="1987F31D" w:rsidR="008D383A" w:rsidRPr="008D383A" w:rsidRDefault="008D383A" w:rsidP="00DE14E2">
      <w:pPr>
        <w:jc w:val="both"/>
        <w:rPr>
          <w:rFonts w:ascii="Arial" w:hAnsi="Arial" w:cs="Arial"/>
          <w:b/>
          <w:bCs/>
        </w:rPr>
      </w:pPr>
      <w:r>
        <w:rPr>
          <w:rFonts w:ascii="Arial" w:hAnsi="Arial" w:cs="Arial"/>
          <w:b/>
          <w:bCs/>
        </w:rPr>
        <w:t>Costings and funding arrangements.</w:t>
      </w:r>
    </w:p>
    <w:p w14:paraId="26ABCD44" w14:textId="77777777" w:rsidR="00BC329A" w:rsidRDefault="00BC329A" w:rsidP="00BC329A">
      <w:pPr>
        <w:pStyle w:val="NormalWeb"/>
        <w:spacing w:before="0" w:beforeAutospacing="0" w:after="0" w:afterAutospacing="0"/>
        <w:ind w:left="851"/>
        <w:jc w:val="both"/>
        <w:rPr>
          <w:rFonts w:ascii="Arial" w:hAnsi="Arial" w:cs="Arial"/>
          <w:sz w:val="22"/>
          <w:szCs w:val="22"/>
        </w:rPr>
      </w:pPr>
    </w:p>
    <w:p w14:paraId="78422FB0" w14:textId="4AE44C62" w:rsidR="00BC329A" w:rsidRDefault="00BC329A" w:rsidP="00BC329A">
      <w:pPr>
        <w:pStyle w:val="NormalWeb"/>
        <w:spacing w:before="0" w:beforeAutospacing="0" w:after="0" w:afterAutospacing="0"/>
        <w:jc w:val="both"/>
        <w:rPr>
          <w:rFonts w:ascii="Arial" w:hAnsi="Arial" w:cs="Arial"/>
          <w:sz w:val="22"/>
          <w:szCs w:val="22"/>
        </w:rPr>
      </w:pPr>
      <w:r>
        <w:rPr>
          <w:rFonts w:ascii="Arial" w:hAnsi="Arial" w:cs="Arial"/>
          <w:sz w:val="22"/>
          <w:szCs w:val="22"/>
        </w:rPr>
        <w:t>The current budgets for the existing shared care services</w:t>
      </w:r>
      <w:r w:rsidR="000F2639">
        <w:rPr>
          <w:rFonts w:ascii="Arial" w:hAnsi="Arial" w:cs="Arial"/>
          <w:sz w:val="22"/>
          <w:szCs w:val="22"/>
        </w:rPr>
        <w:t xml:space="preserve"> in NEL</w:t>
      </w:r>
      <w:r w:rsidR="008D383A">
        <w:rPr>
          <w:rFonts w:ascii="Arial" w:hAnsi="Arial" w:cs="Arial"/>
          <w:sz w:val="22"/>
          <w:szCs w:val="22"/>
        </w:rPr>
        <w:t xml:space="preserve">, namely Mental Health and Near Patient Testing local shared schemes are £195,586. </w:t>
      </w:r>
      <w:r>
        <w:rPr>
          <w:rFonts w:ascii="Arial" w:hAnsi="Arial" w:cs="Arial"/>
          <w:sz w:val="22"/>
          <w:szCs w:val="22"/>
        </w:rPr>
        <w:t xml:space="preserve"> As this framework will increase the amount of activity through primary care, there will be a cost impact to the CCG which will require additional funding to be identified.  Due to the complexities of the shared care arrangements, it is difficult to estimate the amount of funding that will be required. </w:t>
      </w:r>
      <w:r w:rsidR="00E57956">
        <w:rPr>
          <w:rFonts w:ascii="Arial" w:hAnsi="Arial" w:cs="Arial"/>
          <w:sz w:val="22"/>
          <w:szCs w:val="22"/>
        </w:rPr>
        <w:t xml:space="preserve">The costings are dependant on the number of drugs that are added to the shared care framework; these can be assessed as we look to add them. </w:t>
      </w:r>
      <w:r>
        <w:rPr>
          <w:rFonts w:ascii="Arial" w:hAnsi="Arial" w:cs="Arial"/>
          <w:sz w:val="22"/>
          <w:szCs w:val="22"/>
        </w:rPr>
        <w:t xml:space="preserve"> However</w:t>
      </w:r>
      <w:r w:rsidR="00923463">
        <w:rPr>
          <w:rFonts w:ascii="Arial" w:hAnsi="Arial" w:cs="Arial"/>
          <w:sz w:val="22"/>
          <w:szCs w:val="22"/>
        </w:rPr>
        <w:t>,</w:t>
      </w:r>
      <w:r>
        <w:rPr>
          <w:rFonts w:ascii="Arial" w:hAnsi="Arial" w:cs="Arial"/>
          <w:sz w:val="22"/>
          <w:szCs w:val="22"/>
        </w:rPr>
        <w:t xml:space="preserve"> it has been acknowledged through the ongoing Outpatient Transformation work that it is necessary for these new shared care arrangements to be implemented as soon as possible.  The support from primary care networks is key to the success of this plan.  We acknowledge that this will be a financial risk to the CCG, however it is recognised that the funding will </w:t>
      </w:r>
      <w:r w:rsidR="008D383A">
        <w:rPr>
          <w:rFonts w:ascii="Arial" w:hAnsi="Arial" w:cs="Arial"/>
          <w:sz w:val="22"/>
          <w:szCs w:val="22"/>
        </w:rPr>
        <w:t xml:space="preserve">need to </w:t>
      </w:r>
      <w:r>
        <w:rPr>
          <w:rFonts w:ascii="Arial" w:hAnsi="Arial" w:cs="Arial"/>
          <w:sz w:val="22"/>
          <w:szCs w:val="22"/>
        </w:rPr>
        <w:t>be identified</w:t>
      </w:r>
      <w:r w:rsidR="008D383A">
        <w:rPr>
          <w:rFonts w:ascii="Arial" w:hAnsi="Arial" w:cs="Arial"/>
          <w:sz w:val="22"/>
          <w:szCs w:val="22"/>
        </w:rPr>
        <w:t xml:space="preserve"> and support from </w:t>
      </w:r>
      <w:r>
        <w:rPr>
          <w:rFonts w:ascii="Arial" w:hAnsi="Arial" w:cs="Arial"/>
          <w:sz w:val="22"/>
          <w:szCs w:val="22"/>
        </w:rPr>
        <w:t>within the wider system ICS budget.</w:t>
      </w:r>
    </w:p>
    <w:p w14:paraId="1E2C75FD" w14:textId="77777777" w:rsidR="00BC329A" w:rsidRPr="00E45A4C" w:rsidRDefault="00BC329A" w:rsidP="00BC329A">
      <w:pPr>
        <w:pStyle w:val="ListParagraph"/>
        <w:spacing w:line="276" w:lineRule="auto"/>
        <w:ind w:left="425"/>
        <w:contextualSpacing w:val="0"/>
        <w:jc w:val="both"/>
        <w:rPr>
          <w:rFonts w:ascii="Arial" w:hAnsi="Arial" w:cs="Arial"/>
        </w:rPr>
      </w:pPr>
    </w:p>
    <w:p w14:paraId="10D15251" w14:textId="06030E3A" w:rsidR="008D383A" w:rsidRDefault="00BC329A" w:rsidP="00BC329A">
      <w:pPr>
        <w:rPr>
          <w:rFonts w:ascii="Arial" w:hAnsi="Arial" w:cs="Arial"/>
          <w:b/>
        </w:rPr>
      </w:pPr>
      <w:r w:rsidRPr="00D521E2">
        <w:rPr>
          <w:rFonts w:ascii="Arial" w:hAnsi="Arial" w:cs="Arial"/>
          <w:b/>
        </w:rPr>
        <w:t xml:space="preserve"> </w:t>
      </w:r>
    </w:p>
    <w:p w14:paraId="7D6ADE1A" w14:textId="77777777" w:rsidR="008D383A" w:rsidRPr="00F92996" w:rsidRDefault="008D383A" w:rsidP="008D383A">
      <w:pPr>
        <w:rPr>
          <w:rFonts w:ascii="Arial" w:hAnsi="Arial" w:cs="Arial"/>
          <w:b/>
          <w:bCs/>
        </w:rPr>
      </w:pPr>
      <w:r w:rsidRPr="00F92996">
        <w:rPr>
          <w:rFonts w:ascii="Arial" w:hAnsi="Arial" w:cs="Arial"/>
          <w:b/>
          <w:bCs/>
        </w:rPr>
        <w:t>Recommendation</w:t>
      </w:r>
    </w:p>
    <w:p w14:paraId="02D9C0EE" w14:textId="77777777" w:rsidR="001B3BB4" w:rsidRDefault="001B3BB4" w:rsidP="008D383A">
      <w:pPr>
        <w:rPr>
          <w:rFonts w:ascii="Arial" w:hAnsi="Arial" w:cs="Arial"/>
        </w:rPr>
      </w:pPr>
    </w:p>
    <w:p w14:paraId="07D791A5" w14:textId="54EC604C" w:rsidR="008D383A" w:rsidRDefault="008D383A" w:rsidP="008D383A">
      <w:pPr>
        <w:rPr>
          <w:rFonts w:ascii="Arial" w:eastAsia="Calibri" w:hAnsi="Arial" w:cs="Arial"/>
          <w:szCs w:val="24"/>
        </w:rPr>
      </w:pPr>
      <w:r w:rsidRPr="00F92996">
        <w:rPr>
          <w:rFonts w:ascii="Arial" w:hAnsi="Arial" w:cs="Arial"/>
        </w:rPr>
        <w:t xml:space="preserve">The </w:t>
      </w:r>
      <w:r w:rsidR="001B3BB4">
        <w:rPr>
          <w:rFonts w:ascii="Arial" w:hAnsi="Arial" w:cs="Arial"/>
        </w:rPr>
        <w:t xml:space="preserve">Committee </w:t>
      </w:r>
      <w:r w:rsidRPr="00F92996">
        <w:rPr>
          <w:rFonts w:ascii="Arial" w:hAnsi="Arial" w:cs="Arial"/>
        </w:rPr>
        <w:t xml:space="preserve">are asked to </w:t>
      </w:r>
      <w:r w:rsidRPr="004948E8">
        <w:rPr>
          <w:rFonts w:ascii="Arial" w:hAnsi="Arial" w:cs="Arial"/>
        </w:rPr>
        <w:t xml:space="preserve">approve the Generic Shared Care Framework </w:t>
      </w:r>
      <w:r>
        <w:rPr>
          <w:rFonts w:ascii="Arial" w:hAnsi="Arial" w:cs="Arial"/>
        </w:rPr>
        <w:t xml:space="preserve">in NEL </w:t>
      </w:r>
      <w:r w:rsidRPr="004948E8">
        <w:rPr>
          <w:rFonts w:ascii="Arial" w:hAnsi="Arial" w:cs="Arial"/>
        </w:rPr>
        <w:t xml:space="preserve">for implementation across Northern Lincolnshire for </w:t>
      </w:r>
      <w:r>
        <w:rPr>
          <w:rFonts w:ascii="Arial" w:hAnsi="Arial" w:cs="Arial"/>
        </w:rPr>
        <w:t xml:space="preserve">existing and </w:t>
      </w:r>
      <w:r w:rsidRPr="004948E8">
        <w:rPr>
          <w:rFonts w:ascii="Arial" w:hAnsi="Arial" w:cs="Arial"/>
        </w:rPr>
        <w:t>future shared care arrangements</w:t>
      </w:r>
      <w:r>
        <w:rPr>
          <w:rFonts w:ascii="Arial" w:hAnsi="Arial" w:cs="Arial"/>
        </w:rPr>
        <w:t>.</w:t>
      </w:r>
    </w:p>
    <w:p w14:paraId="0F63A984" w14:textId="77777777" w:rsidR="008D383A" w:rsidRPr="00D521E2" w:rsidRDefault="008D383A" w:rsidP="00BC329A">
      <w:pPr>
        <w:rPr>
          <w:rFonts w:ascii="Arial" w:hAnsi="Arial" w:cs="Arial"/>
          <w:b/>
        </w:rPr>
      </w:pPr>
    </w:p>
    <w:p w14:paraId="6C0108D8" w14:textId="691CF95A" w:rsidR="00C508F6" w:rsidRDefault="00C508F6" w:rsidP="00574BEE">
      <w:pPr>
        <w:spacing w:after="160" w:line="259" w:lineRule="auto"/>
        <w:rPr>
          <w:rFonts w:ascii="Arial" w:eastAsia="Calibri" w:hAnsi="Arial" w:cs="Arial"/>
          <w:b/>
          <w:bCs/>
          <w:szCs w:val="24"/>
        </w:rPr>
      </w:pPr>
    </w:p>
    <w:p w14:paraId="1796E1A4" w14:textId="125B124B" w:rsidR="00EB6EA1" w:rsidRDefault="00EB6EA1" w:rsidP="00574BEE">
      <w:pPr>
        <w:spacing w:after="160" w:line="259" w:lineRule="auto"/>
        <w:rPr>
          <w:rFonts w:ascii="Arial" w:eastAsia="Calibri" w:hAnsi="Arial" w:cs="Arial"/>
          <w:b/>
          <w:bCs/>
          <w:szCs w:val="24"/>
        </w:rPr>
      </w:pPr>
    </w:p>
    <w:p w14:paraId="4C681F6B" w14:textId="72AAFABA" w:rsidR="00AC10A2" w:rsidRPr="00EB6EA1" w:rsidRDefault="00AC10A2" w:rsidP="00574BEE">
      <w:pPr>
        <w:spacing w:after="160" w:line="259" w:lineRule="auto"/>
        <w:rPr>
          <w:rFonts w:ascii="Arial" w:eastAsia="Calibri" w:hAnsi="Arial" w:cs="Arial"/>
          <w:b/>
          <w:bCs/>
          <w:szCs w:val="24"/>
        </w:rPr>
      </w:pPr>
    </w:p>
    <w:sectPr w:rsidR="00AC10A2" w:rsidRPr="00EB6EA1"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BCF" w14:textId="77777777" w:rsidR="003408CE" w:rsidRDefault="003408CE" w:rsidP="007A35A7">
      <w:r>
        <w:separator/>
      </w:r>
    </w:p>
  </w:endnote>
  <w:endnote w:type="continuationSeparator" w:id="0">
    <w:p w14:paraId="7D70D23D" w14:textId="77777777" w:rsidR="003408CE" w:rsidRDefault="003408CE"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4A8C" w14:textId="77777777" w:rsidR="003408CE" w:rsidRDefault="003408CE" w:rsidP="007A35A7">
      <w:r>
        <w:separator/>
      </w:r>
    </w:p>
  </w:footnote>
  <w:footnote w:type="continuationSeparator" w:id="0">
    <w:p w14:paraId="6538B436" w14:textId="77777777" w:rsidR="003408CE" w:rsidRDefault="003408CE"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F427D"/>
    <w:multiLevelType w:val="hybridMultilevel"/>
    <w:tmpl w:val="D2EA0376"/>
    <w:lvl w:ilvl="0" w:tplc="08090001">
      <w:start w:val="1"/>
      <w:numFmt w:val="bullet"/>
      <w:lvlText w:val=""/>
      <w:lvlJc w:val="left"/>
      <w:pPr>
        <w:ind w:left="1463" w:hanging="360"/>
      </w:pPr>
      <w:rPr>
        <w:rFonts w:ascii="Symbol" w:hAnsi="Symbol" w:hint="default"/>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21311"/>
    <w:multiLevelType w:val="hybridMultilevel"/>
    <w:tmpl w:val="2B3C0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721C57"/>
    <w:multiLevelType w:val="hybridMultilevel"/>
    <w:tmpl w:val="3DEA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A4DA3"/>
    <w:multiLevelType w:val="hybridMultilevel"/>
    <w:tmpl w:val="3F0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800B7A"/>
    <w:multiLevelType w:val="multilevel"/>
    <w:tmpl w:val="DC7C03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F54CA"/>
    <w:multiLevelType w:val="hybridMultilevel"/>
    <w:tmpl w:val="D44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A174C4"/>
    <w:multiLevelType w:val="hybridMultilevel"/>
    <w:tmpl w:val="9654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B538D"/>
    <w:multiLevelType w:val="hybridMultilevel"/>
    <w:tmpl w:val="190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2777C"/>
    <w:multiLevelType w:val="hybridMultilevel"/>
    <w:tmpl w:val="5A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A3DFE"/>
    <w:multiLevelType w:val="multilevel"/>
    <w:tmpl w:val="1A405316"/>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7E9164B"/>
    <w:multiLevelType w:val="hybridMultilevel"/>
    <w:tmpl w:val="E59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3"/>
  </w:num>
  <w:num w:numId="3">
    <w:abstractNumId w:val="10"/>
  </w:num>
  <w:num w:numId="4">
    <w:abstractNumId w:val="36"/>
  </w:num>
  <w:num w:numId="5">
    <w:abstractNumId w:val="14"/>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1"/>
  </w:num>
  <w:num w:numId="20">
    <w:abstractNumId w:val="33"/>
  </w:num>
  <w:num w:numId="21">
    <w:abstractNumId w:val="25"/>
  </w:num>
  <w:num w:numId="22">
    <w:abstractNumId w:val="12"/>
  </w:num>
  <w:num w:numId="23">
    <w:abstractNumId w:val="38"/>
  </w:num>
  <w:num w:numId="24">
    <w:abstractNumId w:val="16"/>
  </w:num>
  <w:num w:numId="25">
    <w:abstractNumId w:val="22"/>
  </w:num>
  <w:num w:numId="26">
    <w:abstractNumId w:val="15"/>
  </w:num>
  <w:num w:numId="27">
    <w:abstractNumId w:val="35"/>
  </w:num>
  <w:num w:numId="28">
    <w:abstractNumId w:val="37"/>
  </w:num>
  <w:num w:numId="29">
    <w:abstractNumId w:val="24"/>
  </w:num>
  <w:num w:numId="30">
    <w:abstractNumId w:val="20"/>
  </w:num>
  <w:num w:numId="31">
    <w:abstractNumId w:val="28"/>
  </w:num>
  <w:num w:numId="32">
    <w:abstractNumId w:val="29"/>
  </w:num>
  <w:num w:numId="33">
    <w:abstractNumId w:val="11"/>
  </w:num>
  <w:num w:numId="34">
    <w:abstractNumId w:val="17"/>
  </w:num>
  <w:num w:numId="35">
    <w:abstractNumId w:val="26"/>
  </w:num>
  <w:num w:numId="36">
    <w:abstractNumId w:val="30"/>
  </w:num>
  <w:num w:numId="37">
    <w:abstractNumId w:val="34"/>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3229F"/>
    <w:rsid w:val="000575C2"/>
    <w:rsid w:val="000A6EBC"/>
    <w:rsid w:val="000D2C35"/>
    <w:rsid w:val="000F2639"/>
    <w:rsid w:val="001712C0"/>
    <w:rsid w:val="001B3BB4"/>
    <w:rsid w:val="001C0122"/>
    <w:rsid w:val="001E36CC"/>
    <w:rsid w:val="001F5F96"/>
    <w:rsid w:val="00205F01"/>
    <w:rsid w:val="00243C58"/>
    <w:rsid w:val="00274E0E"/>
    <w:rsid w:val="00281DA0"/>
    <w:rsid w:val="002B67C0"/>
    <w:rsid w:val="002B7673"/>
    <w:rsid w:val="002F61B8"/>
    <w:rsid w:val="00301E85"/>
    <w:rsid w:val="003408CE"/>
    <w:rsid w:val="00390FEA"/>
    <w:rsid w:val="003F1101"/>
    <w:rsid w:val="00465B88"/>
    <w:rsid w:val="00481002"/>
    <w:rsid w:val="00485586"/>
    <w:rsid w:val="00490A97"/>
    <w:rsid w:val="004975F1"/>
    <w:rsid w:val="004A5BAE"/>
    <w:rsid w:val="004D0190"/>
    <w:rsid w:val="00500FA5"/>
    <w:rsid w:val="00503EF7"/>
    <w:rsid w:val="005051F9"/>
    <w:rsid w:val="005108AC"/>
    <w:rsid w:val="00546D1B"/>
    <w:rsid w:val="00572836"/>
    <w:rsid w:val="00574BEE"/>
    <w:rsid w:val="005779AC"/>
    <w:rsid w:val="005F0030"/>
    <w:rsid w:val="00614C77"/>
    <w:rsid w:val="006224F3"/>
    <w:rsid w:val="00622500"/>
    <w:rsid w:val="00645252"/>
    <w:rsid w:val="006B0838"/>
    <w:rsid w:val="006D3D74"/>
    <w:rsid w:val="006D535F"/>
    <w:rsid w:val="007139D0"/>
    <w:rsid w:val="00720ADD"/>
    <w:rsid w:val="0075308F"/>
    <w:rsid w:val="00761230"/>
    <w:rsid w:val="00763C50"/>
    <w:rsid w:val="0077046E"/>
    <w:rsid w:val="00771ADB"/>
    <w:rsid w:val="00772263"/>
    <w:rsid w:val="007A1702"/>
    <w:rsid w:val="007A35A7"/>
    <w:rsid w:val="007A679B"/>
    <w:rsid w:val="007C47BA"/>
    <w:rsid w:val="007C6D38"/>
    <w:rsid w:val="007D1618"/>
    <w:rsid w:val="008047BA"/>
    <w:rsid w:val="008167A7"/>
    <w:rsid w:val="0083569A"/>
    <w:rsid w:val="008924CE"/>
    <w:rsid w:val="008A5755"/>
    <w:rsid w:val="008D383A"/>
    <w:rsid w:val="00901167"/>
    <w:rsid w:val="00923463"/>
    <w:rsid w:val="0094045D"/>
    <w:rsid w:val="00953F75"/>
    <w:rsid w:val="009642D0"/>
    <w:rsid w:val="009674CC"/>
    <w:rsid w:val="00985504"/>
    <w:rsid w:val="00987905"/>
    <w:rsid w:val="009A4E82"/>
    <w:rsid w:val="009D2B9B"/>
    <w:rsid w:val="009F2EC6"/>
    <w:rsid w:val="00A858DE"/>
    <w:rsid w:val="00A9204E"/>
    <w:rsid w:val="00AA7658"/>
    <w:rsid w:val="00AC10A2"/>
    <w:rsid w:val="00B0789E"/>
    <w:rsid w:val="00B10F65"/>
    <w:rsid w:val="00B45A7C"/>
    <w:rsid w:val="00B86B77"/>
    <w:rsid w:val="00B94B99"/>
    <w:rsid w:val="00BB435E"/>
    <w:rsid w:val="00BC329A"/>
    <w:rsid w:val="00BD3CB7"/>
    <w:rsid w:val="00C065FC"/>
    <w:rsid w:val="00C508F6"/>
    <w:rsid w:val="00C51F00"/>
    <w:rsid w:val="00C73FD3"/>
    <w:rsid w:val="00D03176"/>
    <w:rsid w:val="00D431DE"/>
    <w:rsid w:val="00D448E3"/>
    <w:rsid w:val="00D763B6"/>
    <w:rsid w:val="00DB0999"/>
    <w:rsid w:val="00DB7724"/>
    <w:rsid w:val="00DE14E2"/>
    <w:rsid w:val="00DE4FA0"/>
    <w:rsid w:val="00DE79E3"/>
    <w:rsid w:val="00E22203"/>
    <w:rsid w:val="00E511D7"/>
    <w:rsid w:val="00E57064"/>
    <w:rsid w:val="00E57956"/>
    <w:rsid w:val="00E72CDB"/>
    <w:rsid w:val="00EA53C2"/>
    <w:rsid w:val="00EB6D6E"/>
    <w:rsid w:val="00EB6EA1"/>
    <w:rsid w:val="00F02F1F"/>
    <w:rsid w:val="00F168EB"/>
    <w:rsid w:val="00F17351"/>
    <w:rsid w:val="00F25493"/>
    <w:rsid w:val="00F47E31"/>
    <w:rsid w:val="00F55783"/>
    <w:rsid w:val="00F77710"/>
    <w:rsid w:val="00F92996"/>
    <w:rsid w:val="00FB3009"/>
    <w:rsid w:val="00FD18FF"/>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5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unhideWhenUsed/>
    <w:qFormat/>
    <w:rsid w:val="00B86B77"/>
    <w:pPr>
      <w:ind w:left="720"/>
      <w:contextualSpacing/>
    </w:pPr>
  </w:style>
  <w:style w:type="paragraph" w:styleId="BodyText">
    <w:name w:val="Body Text"/>
    <w:basedOn w:val="Normal"/>
    <w:link w:val="BodyTextChar"/>
    <w:uiPriority w:val="99"/>
    <w:semiHidden/>
    <w:unhideWhenUsed/>
    <w:rsid w:val="008047BA"/>
    <w:pPr>
      <w:spacing w:after="120"/>
    </w:pPr>
  </w:style>
  <w:style w:type="character" w:customStyle="1" w:styleId="BodyTextChar">
    <w:name w:val="Body Text Char"/>
    <w:basedOn w:val="DefaultParagraphFont"/>
    <w:link w:val="BodyText"/>
    <w:uiPriority w:val="99"/>
    <w:semiHidden/>
    <w:rsid w:val="008047BA"/>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rsid w:val="008047BA"/>
  </w:style>
  <w:style w:type="paragraph" w:customStyle="1" w:styleId="TableParagraph">
    <w:name w:val="Table Paragraph"/>
    <w:basedOn w:val="Normal"/>
    <w:uiPriority w:val="1"/>
    <w:qFormat/>
    <w:rsid w:val="00572836"/>
    <w:pPr>
      <w:widowControl w:val="0"/>
      <w:autoSpaceDE w:val="0"/>
      <w:autoSpaceDN w:val="0"/>
    </w:pPr>
    <w:rPr>
      <w:rFonts w:ascii="Arial" w:eastAsia="Arial" w:hAnsi="Arial" w:cs="Arial"/>
    </w:rPr>
  </w:style>
  <w:style w:type="paragraph" w:styleId="NormalWeb">
    <w:name w:val="Normal (Web)"/>
    <w:basedOn w:val="Normal"/>
    <w:uiPriority w:val="99"/>
    <w:unhideWhenUsed/>
    <w:rsid w:val="00BC329A"/>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511">
      <w:bodyDiv w:val="1"/>
      <w:marLeft w:val="0"/>
      <w:marRight w:val="0"/>
      <w:marTop w:val="0"/>
      <w:marBottom w:val="0"/>
      <w:divBdr>
        <w:top w:val="none" w:sz="0" w:space="0" w:color="auto"/>
        <w:left w:val="none" w:sz="0" w:space="0" w:color="auto"/>
        <w:bottom w:val="none" w:sz="0" w:space="0" w:color="auto"/>
        <w:right w:val="none" w:sz="0" w:space="0" w:color="auto"/>
      </w:divBdr>
    </w:div>
    <w:div w:id="947783195">
      <w:bodyDiv w:val="1"/>
      <w:marLeft w:val="0"/>
      <w:marRight w:val="0"/>
      <w:marTop w:val="0"/>
      <w:marBottom w:val="0"/>
      <w:divBdr>
        <w:top w:val="none" w:sz="0" w:space="0" w:color="auto"/>
        <w:left w:val="none" w:sz="0" w:space="0" w:color="auto"/>
        <w:bottom w:val="none" w:sz="0" w:space="0" w:color="auto"/>
        <w:right w:val="none" w:sz="0" w:space="0" w:color="auto"/>
      </w:divBdr>
      <w:divsChild>
        <w:div w:id="1851524204">
          <w:marLeft w:val="0"/>
          <w:marRight w:val="0"/>
          <w:marTop w:val="0"/>
          <w:marBottom w:val="0"/>
          <w:divBdr>
            <w:top w:val="none" w:sz="0" w:space="0" w:color="auto"/>
            <w:left w:val="none" w:sz="0" w:space="0" w:color="auto"/>
            <w:bottom w:val="none" w:sz="0" w:space="0" w:color="auto"/>
            <w:right w:val="none" w:sz="0" w:space="0" w:color="auto"/>
          </w:divBdr>
        </w:div>
      </w:divsChild>
    </w:div>
    <w:div w:id="1290696945">
      <w:bodyDiv w:val="1"/>
      <w:marLeft w:val="0"/>
      <w:marRight w:val="0"/>
      <w:marTop w:val="0"/>
      <w:marBottom w:val="0"/>
      <w:divBdr>
        <w:top w:val="none" w:sz="0" w:space="0" w:color="auto"/>
        <w:left w:val="none" w:sz="0" w:space="0" w:color="auto"/>
        <w:bottom w:val="none" w:sz="0" w:space="0" w:color="auto"/>
        <w:right w:val="none" w:sz="0" w:space="0" w:color="auto"/>
      </w:divBdr>
    </w:div>
    <w:div w:id="2122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3149"/>
    <w:rsid w:val="003C444A"/>
    <w:rsid w:val="00476E05"/>
    <w:rsid w:val="00757CB1"/>
    <w:rsid w:val="007C597F"/>
    <w:rsid w:val="00A5572D"/>
    <w:rsid w:val="00C3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C597F"/>
    <w:rPr>
      <w:color w:val="80808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15</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4</cp:revision>
  <cp:lastPrinted>2020-09-22T15:05:00Z</cp:lastPrinted>
  <dcterms:created xsi:type="dcterms:W3CDTF">2021-07-29T09:18:00Z</dcterms:created>
  <dcterms:modified xsi:type="dcterms:W3CDTF">2021-08-03T11:03:00Z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