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3D1FBEF8"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3278C1">
        <w:rPr>
          <w:rFonts w:ascii="Arial" w:hAnsi="Arial" w:cs="Arial"/>
          <w:b/>
          <w:bCs/>
        </w:rPr>
        <w:t>7a(I)</w:t>
      </w:r>
    </w:p>
    <w:p w14:paraId="22258ED1" w14:textId="15E4ADD6" w:rsidR="007A35A7" w:rsidRDefault="007A35A7" w:rsidP="007A35A7">
      <w:pPr>
        <w:rPr>
          <w:rFonts w:ascii="Arial" w:hAnsi="Arial" w:cs="Arial"/>
        </w:rPr>
      </w:pPr>
    </w:p>
    <w:p w14:paraId="00EDB048" w14:textId="6250C86A"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78752904"/>
          <w:placeholder>
            <w:docPart w:val="C8E3F1C1AFDB400C90EA33449E09AFA6"/>
          </w:placeholder>
          <w:text/>
        </w:sdtPr>
        <w:sdtEndPr/>
        <w:sdtContent>
          <w:r w:rsidR="00044B66" w:rsidRPr="0041465E">
            <w:rPr>
              <w:rFonts w:ascii="Arial" w:hAnsi="Arial" w:cs="Arial"/>
              <w:b/>
              <w:bCs/>
            </w:rPr>
            <w:t xml:space="preserve">Primary Care Commissioning Committee </w:t>
          </w:r>
        </w:sdtContent>
      </w:sdt>
    </w:p>
    <w:p w14:paraId="16DEF567" w14:textId="6DF0A20B"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10-12T00:00:00Z">
            <w:dateFormat w:val="dd/MM/yyyy"/>
            <w:lid w:val="en-GB"/>
            <w:storeMappedDataAs w:val="dateTime"/>
            <w:calendar w:val="gregorian"/>
          </w:date>
        </w:sdtPr>
        <w:sdtEndPr/>
        <w:sdtContent>
          <w:r w:rsidR="003278C1">
            <w:rPr>
              <w:rFonts w:ascii="Arial" w:hAnsi="Arial" w:cs="Arial"/>
              <w:b/>
              <w:bCs/>
            </w:rPr>
            <w:t>12/10/2021</w:t>
          </w:r>
        </w:sdtContent>
      </w:sdt>
    </w:p>
    <w:p w14:paraId="5693DC73" w14:textId="0A32007A"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10-05T00:00:00Z">
            <w:dateFormat w:val="dd/MM/yyyy"/>
            <w:lid w:val="en-GB"/>
            <w:storeMappedDataAs w:val="dateTime"/>
            <w:calendar w:val="gregorian"/>
          </w:date>
        </w:sdtPr>
        <w:sdtEndPr/>
        <w:sdtContent>
          <w:r w:rsidR="003278C1">
            <w:rPr>
              <w:rFonts w:ascii="Arial" w:hAnsi="Arial" w:cs="Arial"/>
              <w:b/>
              <w:bCs/>
            </w:rPr>
            <w:t>05/10/2021</w:t>
          </w:r>
        </w:sdtContent>
      </w:sdt>
    </w:p>
    <w:p w14:paraId="559C3671" w14:textId="2D244061"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044B66">
            <w:rPr>
              <w:rFonts w:ascii="Arial" w:hAnsi="Arial" w:cs="Arial"/>
              <w:b/>
              <w:bCs/>
            </w:rPr>
            <w:t>Shared care framework</w:t>
          </w:r>
          <w:r w:rsidR="00FF706C">
            <w:rPr>
              <w:rFonts w:ascii="Arial" w:hAnsi="Arial" w:cs="Arial"/>
              <w:b/>
              <w:bCs/>
            </w:rPr>
            <w:t>s</w:t>
          </w:r>
          <w:r w:rsidR="00044B66">
            <w:rPr>
              <w:rFonts w:ascii="Arial" w:hAnsi="Arial" w:cs="Arial"/>
              <w:b/>
              <w:bCs/>
            </w:rPr>
            <w:t xml:space="preserve"> for </w:t>
          </w:r>
          <w:proofErr w:type="spellStart"/>
          <w:r w:rsidR="00044B66">
            <w:rPr>
              <w:rFonts w:ascii="Arial" w:hAnsi="Arial" w:cs="Arial"/>
              <w:b/>
              <w:bCs/>
            </w:rPr>
            <w:t>ibandronic</w:t>
          </w:r>
          <w:proofErr w:type="spellEnd"/>
          <w:r w:rsidR="00044B66">
            <w:rPr>
              <w:rFonts w:ascii="Arial" w:hAnsi="Arial" w:cs="Arial"/>
              <w:b/>
              <w:bCs/>
            </w:rPr>
            <w:t xml:space="preserve"> acid </w:t>
          </w:r>
        </w:sdtContent>
      </w:sdt>
    </w:p>
    <w:p w14:paraId="69070772" w14:textId="14A53BCB"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044B66">
            <w:rPr>
              <w:rFonts w:ascii="Arial" w:hAnsi="Arial" w:cs="Arial"/>
              <w:b/>
              <w:bCs/>
            </w:rPr>
            <w:t xml:space="preserve">James Ledger </w:t>
          </w:r>
        </w:sdtContent>
      </w:sdt>
    </w:p>
    <w:p w14:paraId="50602481" w14:textId="401EAF49"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044B66">
            <w:rPr>
              <w:rFonts w:ascii="Arial" w:hAnsi="Arial" w:cs="Arial"/>
              <w:b/>
              <w:bCs/>
            </w:rPr>
            <w:t>Northern Lincolnshire Area Prescribing Committee</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AE727A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044B66">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0FDF5002"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46B8A">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AE727A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044B66">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0FDF5002"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46B8A">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XSpec="center" w:tblpY="6226"/>
        <w:tblW w:w="0" w:type="auto"/>
        <w:tblLayout w:type="fixed"/>
        <w:tblLook w:val="04A0" w:firstRow="1" w:lastRow="0" w:firstColumn="1" w:lastColumn="0" w:noHBand="0" w:noVBand="1"/>
      </w:tblPr>
      <w:tblGrid>
        <w:gridCol w:w="2258"/>
        <w:gridCol w:w="8838"/>
      </w:tblGrid>
      <w:tr w:rsidR="003F1101" w:rsidRPr="003F1101" w14:paraId="78A95E75" w14:textId="77777777" w:rsidTr="00FF706C">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2D0BEC1F" w:rsidR="003F1101" w:rsidRPr="00FF706C" w:rsidRDefault="00FF706C" w:rsidP="003F1101">
            <w:pPr>
              <w:pStyle w:val="Default"/>
              <w:jc w:val="both"/>
              <w:rPr>
                <w:sz w:val="22"/>
                <w:szCs w:val="22"/>
              </w:rPr>
            </w:pPr>
            <w:r w:rsidRPr="00FF706C">
              <w:rPr>
                <w:sz w:val="22"/>
                <w:szCs w:val="22"/>
              </w:rPr>
              <w:t xml:space="preserve">The attached </w:t>
            </w:r>
            <w:r>
              <w:rPr>
                <w:sz w:val="22"/>
                <w:szCs w:val="22"/>
              </w:rPr>
              <w:t>two</w:t>
            </w:r>
            <w:r w:rsidRPr="00FF706C">
              <w:rPr>
                <w:sz w:val="22"/>
                <w:szCs w:val="22"/>
              </w:rPr>
              <w:t xml:space="preserve"> shared care prescribing frameworks</w:t>
            </w:r>
            <w:r>
              <w:rPr>
                <w:sz w:val="22"/>
                <w:szCs w:val="22"/>
              </w:rPr>
              <w:t xml:space="preserve"> for ibandronate</w:t>
            </w:r>
            <w:r w:rsidRPr="00FF706C">
              <w:rPr>
                <w:sz w:val="22"/>
                <w:szCs w:val="22"/>
              </w:rPr>
              <w:t xml:space="preserve"> have been approved at the Northern Lincolnshire Area Prescribing Committee. This report recommends that the committee accepts these frameworks for addition to the enhanced service for shared care for PCNs. </w:t>
            </w:r>
          </w:p>
        </w:tc>
      </w:tr>
      <w:tr w:rsidR="003F1101" w:rsidRPr="003F1101" w14:paraId="6854EABB" w14:textId="77777777" w:rsidTr="00FF706C">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3BE73518" w:rsidR="003F1101" w:rsidRPr="00FF706C" w:rsidRDefault="00044B66" w:rsidP="003F1101">
            <w:pPr>
              <w:pStyle w:val="Default"/>
              <w:jc w:val="both"/>
              <w:rPr>
                <w:sz w:val="22"/>
                <w:szCs w:val="22"/>
              </w:rPr>
            </w:pPr>
            <w:r w:rsidRPr="00FF706C">
              <w:rPr>
                <w:sz w:val="22"/>
                <w:szCs w:val="22"/>
              </w:rPr>
              <w:t xml:space="preserve">The committee is recommended to approve the shared care </w:t>
            </w:r>
            <w:r w:rsidR="00FF706C" w:rsidRPr="00FF706C">
              <w:rPr>
                <w:sz w:val="22"/>
                <w:szCs w:val="22"/>
              </w:rPr>
              <w:t>agreements</w:t>
            </w:r>
            <w:r w:rsidRPr="00FF706C">
              <w:rPr>
                <w:sz w:val="22"/>
                <w:szCs w:val="22"/>
              </w:rPr>
              <w:t xml:space="preserve"> for addition to the enhanced service for PCNs </w:t>
            </w:r>
            <w:r w:rsidR="00FF706C">
              <w:rPr>
                <w:sz w:val="22"/>
                <w:szCs w:val="22"/>
              </w:rPr>
              <w:t xml:space="preserve">as level 2 drugs. </w:t>
            </w:r>
          </w:p>
        </w:tc>
      </w:tr>
      <w:tr w:rsidR="003F1101" w:rsidRPr="003F1101" w14:paraId="7C916997" w14:textId="77777777" w:rsidTr="00FF706C">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6C4BA57C" w:rsidR="003F1101" w:rsidRPr="003F1101" w:rsidRDefault="00044B66" w:rsidP="003F1101">
            <w:pPr>
              <w:pStyle w:val="Default"/>
              <w:jc w:val="both"/>
              <w:rPr>
                <w:bCs/>
                <w:color w:val="auto"/>
                <w:sz w:val="22"/>
                <w:szCs w:val="22"/>
              </w:rPr>
            </w:pPr>
            <w:r>
              <w:rPr>
                <w:bCs/>
                <w:color w:val="auto"/>
                <w:sz w:val="22"/>
                <w:szCs w:val="22"/>
              </w:rPr>
              <w:t xml:space="preserve">Northern Lincolnshire Area Prescribing Committee, CCG GP Prescribing Lead </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FF706C">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67A585CE" w14:textId="6C26C8A6" w:rsidR="003F1101" w:rsidRPr="003F1101" w:rsidRDefault="003F1101" w:rsidP="003278C1">
            <w:pPr>
              <w:pStyle w:val="Default"/>
              <w:jc w:val="both"/>
              <w:rPr>
                <w:b/>
                <w:bCs/>
                <w:sz w:val="22"/>
                <w:szCs w:val="22"/>
              </w:rPr>
            </w:pPr>
          </w:p>
        </w:tc>
      </w:tr>
      <w:tr w:rsidR="003F1101" w:rsidRPr="003F1101" w14:paraId="4CEC7CFF" w14:textId="77777777" w:rsidTr="00FF706C">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756E95D8" w14:textId="063A477E" w:rsidR="00FF706C" w:rsidRPr="00FF706C" w:rsidRDefault="003F1101" w:rsidP="003F1101">
            <w:pPr>
              <w:pStyle w:val="Default"/>
              <w:jc w:val="both"/>
              <w:rPr>
                <w:sz w:val="22"/>
                <w:szCs w:val="22"/>
              </w:rPr>
            </w:pPr>
            <w:r w:rsidRPr="00FF706C">
              <w:rPr>
                <w:sz w:val="22"/>
                <w:szCs w:val="22"/>
              </w:rPr>
              <w:t xml:space="preserve">          </w:t>
            </w:r>
            <w:r w:rsidR="00044B66" w:rsidRPr="00FF706C">
              <w:rPr>
                <w:color w:val="auto"/>
                <w:sz w:val="22"/>
                <w:szCs w:val="22"/>
              </w:rPr>
              <w:t xml:space="preserve"> Northern Lincolnshire Area Prescribing </w:t>
            </w:r>
            <w:proofErr w:type="gramStart"/>
            <w:r w:rsidR="00044B66" w:rsidRPr="00FF706C">
              <w:rPr>
                <w:color w:val="auto"/>
                <w:sz w:val="22"/>
                <w:szCs w:val="22"/>
              </w:rPr>
              <w:t>Committee</w:t>
            </w:r>
            <w:r w:rsidRPr="00FF706C">
              <w:rPr>
                <w:sz w:val="22"/>
                <w:szCs w:val="22"/>
              </w:rPr>
              <w:t xml:space="preserve">  </w:t>
            </w:r>
            <w:r w:rsidR="00FF706C" w:rsidRPr="00FF706C">
              <w:rPr>
                <w:sz w:val="22"/>
                <w:szCs w:val="22"/>
              </w:rPr>
              <w:t>-</w:t>
            </w:r>
            <w:proofErr w:type="gramEnd"/>
            <w:r w:rsidR="00FF706C" w:rsidRPr="00FF706C">
              <w:rPr>
                <w:sz w:val="22"/>
                <w:szCs w:val="22"/>
              </w:rPr>
              <w:t xml:space="preserve">approved August 2021 </w:t>
            </w:r>
            <w:r w:rsidRPr="00FF706C">
              <w:rPr>
                <w:sz w:val="22"/>
                <w:szCs w:val="22"/>
              </w:rPr>
              <w:t xml:space="preserve">                 </w:t>
            </w:r>
          </w:p>
          <w:p w14:paraId="3E2FDADF" w14:textId="62C6887A" w:rsidR="003F1101" w:rsidRPr="00FF706C" w:rsidRDefault="003F1101" w:rsidP="003F1101">
            <w:pPr>
              <w:pStyle w:val="Default"/>
              <w:jc w:val="both"/>
              <w:rPr>
                <w:sz w:val="22"/>
                <w:szCs w:val="22"/>
              </w:rPr>
            </w:pPr>
            <w:r w:rsidRPr="00FF706C">
              <w:rPr>
                <w:sz w:val="22"/>
                <w:szCs w:val="22"/>
              </w:rPr>
              <w:t xml:space="preserve">                                    </w:t>
            </w:r>
          </w:p>
        </w:tc>
      </w:tr>
    </w:tbl>
    <w:p w14:paraId="663D54D7" w14:textId="376D612E" w:rsidR="003F1101" w:rsidRDefault="003F1101" w:rsidP="007A35A7">
      <w:pPr>
        <w:rPr>
          <w:rFonts w:ascii="Arial" w:hAnsi="Arial" w:cs="Arial"/>
        </w:rPr>
      </w:pPr>
    </w:p>
    <w:p w14:paraId="7A35E97D" w14:textId="77777777" w:rsidR="00946B8A" w:rsidRDefault="00946B8A" w:rsidP="007A35A7">
      <w:pPr>
        <w:rPr>
          <w:rFonts w:ascii="Arial" w:hAnsi="Arial" w:cs="Arial"/>
        </w:rPr>
      </w:pPr>
    </w:p>
    <w:tbl>
      <w:tblPr>
        <w:tblStyle w:val="TableGrid"/>
        <w:tblW w:w="11055" w:type="dxa"/>
        <w:tblInd w:w="-856" w:type="dxa"/>
        <w:tblLook w:val="04A0" w:firstRow="1" w:lastRow="0" w:firstColumn="1" w:lastColumn="0" w:noHBand="0" w:noVBand="1"/>
      </w:tblPr>
      <w:tblGrid>
        <w:gridCol w:w="2269"/>
        <w:gridCol w:w="3822"/>
        <w:gridCol w:w="565"/>
        <w:gridCol w:w="3804"/>
        <w:gridCol w:w="595"/>
      </w:tblGrid>
      <w:tr w:rsidR="001712C0" w14:paraId="7CF169F8" w14:textId="77777777" w:rsidTr="00946B8A">
        <w:trPr>
          <w:trHeight w:val="1011"/>
        </w:trPr>
        <w:tc>
          <w:tcPr>
            <w:tcW w:w="226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822" w:type="dxa"/>
          </w:tcPr>
          <w:p w14:paraId="40DC3613" w14:textId="77777777" w:rsidR="001712C0" w:rsidRPr="00DE79E3" w:rsidRDefault="00DE79E3" w:rsidP="00241293">
            <w:pPr>
              <w:pStyle w:val="ListParagraph"/>
              <w:numPr>
                <w:ilvl w:val="0"/>
                <w:numId w:val="1"/>
              </w:numPr>
              <w:rPr>
                <w:rFonts w:ascii="Arial" w:hAnsi="Arial" w:cs="Arial"/>
              </w:rPr>
            </w:pPr>
            <w:r w:rsidRPr="00DE79E3">
              <w:rPr>
                <w:rFonts w:ascii="Arial" w:hAnsi="Arial" w:cs="Arial"/>
              </w:rPr>
              <w:t>Sustainable services</w:t>
            </w:r>
          </w:p>
          <w:p w14:paraId="67B3174A" w14:textId="3D4A098A" w:rsidR="00DE79E3" w:rsidRPr="00DE79E3" w:rsidRDefault="00DE79E3" w:rsidP="00241293">
            <w:pPr>
              <w:pStyle w:val="ListParagraph"/>
              <w:numPr>
                <w:ilvl w:val="0"/>
                <w:numId w:val="1"/>
              </w:numPr>
              <w:rPr>
                <w:rFonts w:ascii="Arial" w:hAnsi="Arial" w:cs="Arial"/>
              </w:rPr>
            </w:pPr>
            <w:r w:rsidRPr="00DE79E3">
              <w:rPr>
                <w:rFonts w:ascii="Arial" w:hAnsi="Arial" w:cs="Arial"/>
              </w:rPr>
              <w:t>Empowering people</w:t>
            </w:r>
          </w:p>
        </w:tc>
        <w:tc>
          <w:tcPr>
            <w:tcW w:w="565"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3804" w:type="dxa"/>
          </w:tcPr>
          <w:p w14:paraId="497F9167" w14:textId="77777777" w:rsidR="001712C0" w:rsidRPr="00DE79E3" w:rsidRDefault="00DE79E3" w:rsidP="00241293">
            <w:pPr>
              <w:pStyle w:val="ListParagraph"/>
              <w:numPr>
                <w:ilvl w:val="0"/>
                <w:numId w:val="1"/>
              </w:numPr>
              <w:rPr>
                <w:rFonts w:ascii="Arial" w:hAnsi="Arial" w:cs="Arial"/>
              </w:rPr>
            </w:pPr>
            <w:r w:rsidRPr="00DE79E3">
              <w:rPr>
                <w:rFonts w:ascii="Arial" w:hAnsi="Arial" w:cs="Arial"/>
              </w:rPr>
              <w:t>Supporting communities</w:t>
            </w:r>
          </w:p>
          <w:p w14:paraId="4DB98261" w14:textId="2D035985" w:rsidR="00DE79E3" w:rsidRPr="00DE79E3" w:rsidRDefault="00DE79E3" w:rsidP="00241293">
            <w:pPr>
              <w:pStyle w:val="ListParagraph"/>
              <w:numPr>
                <w:ilvl w:val="0"/>
                <w:numId w:val="1"/>
              </w:numPr>
              <w:rPr>
                <w:rFonts w:ascii="Arial" w:hAnsi="Arial" w:cs="Arial"/>
              </w:rPr>
            </w:pPr>
            <w:r w:rsidRPr="00DE79E3">
              <w:rPr>
                <w:rFonts w:ascii="Arial" w:hAnsi="Arial" w:cs="Arial"/>
              </w:rPr>
              <w:t>Fit for purpose organisation</w:t>
            </w:r>
          </w:p>
        </w:tc>
        <w:tc>
          <w:tcPr>
            <w:tcW w:w="595"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0CBF69D5" w:rsidR="00DE79E3" w:rsidRPr="001712C0" w:rsidRDefault="00044B66" w:rsidP="007A35A7">
                <w:pPr>
                  <w:rPr>
                    <w:rFonts w:ascii="Arial" w:hAnsi="Arial" w:cs="Arial"/>
                  </w:rPr>
                </w:pPr>
                <w:r>
                  <w:rPr>
                    <w:rFonts w:ascii="MS Gothic" w:eastAsia="MS Gothic" w:hAnsi="MS Gothic" w:cs="Arial" w:hint="eastAsia"/>
                  </w:rPr>
                  <w:t>☒</w:t>
                </w:r>
              </w:p>
            </w:sdtContent>
          </w:sdt>
        </w:tc>
      </w:tr>
      <w:tr w:rsidR="001712C0" w14:paraId="092650F4" w14:textId="77777777" w:rsidTr="00946B8A">
        <w:trPr>
          <w:trHeight w:val="2262"/>
        </w:trPr>
        <w:tc>
          <w:tcPr>
            <w:tcW w:w="2269" w:type="dxa"/>
            <w:shd w:val="clear" w:color="auto" w:fill="767171" w:themeFill="background2" w:themeFillShade="80"/>
          </w:tcPr>
          <w:p w14:paraId="547B5B22" w14:textId="29C58C1C" w:rsidR="001712C0" w:rsidRPr="001712C0" w:rsidRDefault="001712C0" w:rsidP="00FF706C">
            <w:pPr>
              <w:jc w:val="cente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822" w:type="dxa"/>
          </w:tcPr>
          <w:p w14:paraId="55172572" w14:textId="663B374D" w:rsidR="001712C0" w:rsidRDefault="00DE79E3" w:rsidP="00241293">
            <w:pPr>
              <w:pStyle w:val="ListParagraph"/>
              <w:numPr>
                <w:ilvl w:val="0"/>
                <w:numId w:val="1"/>
              </w:numPr>
              <w:jc w:val="center"/>
              <w:rPr>
                <w:rFonts w:ascii="Arial" w:hAnsi="Arial" w:cs="Arial"/>
              </w:rPr>
            </w:pPr>
            <w:r>
              <w:rPr>
                <w:rFonts w:ascii="Arial" w:hAnsi="Arial" w:cs="Arial"/>
              </w:rPr>
              <w:t>Legal</w:t>
            </w:r>
          </w:p>
          <w:p w14:paraId="38F4EA1E" w14:textId="20AE0C31" w:rsidR="00DE79E3" w:rsidRDefault="00DE79E3" w:rsidP="00241293">
            <w:pPr>
              <w:pStyle w:val="ListParagraph"/>
              <w:numPr>
                <w:ilvl w:val="0"/>
                <w:numId w:val="1"/>
              </w:numPr>
              <w:jc w:val="center"/>
              <w:rPr>
                <w:rFonts w:ascii="Arial" w:hAnsi="Arial" w:cs="Arial"/>
              </w:rPr>
            </w:pPr>
            <w:r>
              <w:rPr>
                <w:rFonts w:ascii="Arial" w:hAnsi="Arial" w:cs="Arial"/>
              </w:rPr>
              <w:t>Finance</w:t>
            </w:r>
          </w:p>
          <w:p w14:paraId="26722752" w14:textId="3AA86D68" w:rsidR="00DE79E3" w:rsidRDefault="00DE79E3" w:rsidP="00241293">
            <w:pPr>
              <w:pStyle w:val="ListParagraph"/>
              <w:numPr>
                <w:ilvl w:val="0"/>
                <w:numId w:val="1"/>
              </w:numPr>
              <w:jc w:val="center"/>
              <w:rPr>
                <w:rFonts w:ascii="Arial" w:hAnsi="Arial" w:cs="Arial"/>
              </w:rPr>
            </w:pPr>
            <w:r>
              <w:rPr>
                <w:rFonts w:ascii="Arial" w:hAnsi="Arial" w:cs="Arial"/>
              </w:rPr>
              <w:t>Quality</w:t>
            </w:r>
          </w:p>
          <w:p w14:paraId="1B6413ED" w14:textId="413DD160" w:rsidR="00DE79E3" w:rsidRPr="001712C0" w:rsidRDefault="00622500" w:rsidP="00241293">
            <w:pPr>
              <w:pStyle w:val="ListParagraph"/>
              <w:numPr>
                <w:ilvl w:val="0"/>
                <w:numId w:val="1"/>
              </w:numPr>
              <w:jc w:val="cente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5"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2503B40A" w:rsidR="00DE79E3" w:rsidRDefault="00044B66"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FF706C">
                <w:pPr>
                  <w:jc w:val="center"/>
                  <w:rPr>
                    <w:rFonts w:ascii="Arial" w:hAnsi="Arial" w:cs="Arial"/>
                  </w:rPr>
                </w:pPr>
                <w:r>
                  <w:rPr>
                    <w:rFonts w:ascii="MS Gothic" w:eastAsia="MS Gothic" w:hAnsi="MS Gothic" w:cs="Arial" w:hint="eastAsia"/>
                  </w:rPr>
                  <w:t>☐</w:t>
                </w:r>
              </w:p>
            </w:sdtContent>
          </w:sdt>
        </w:tc>
        <w:tc>
          <w:tcPr>
            <w:tcW w:w="3804" w:type="dxa"/>
          </w:tcPr>
          <w:p w14:paraId="660E5885" w14:textId="77777777" w:rsidR="001712C0" w:rsidRDefault="00DE79E3" w:rsidP="00241293">
            <w:pPr>
              <w:pStyle w:val="ListParagraph"/>
              <w:numPr>
                <w:ilvl w:val="0"/>
                <w:numId w:val="1"/>
              </w:numPr>
              <w:jc w:val="center"/>
              <w:rPr>
                <w:rFonts w:ascii="Arial" w:hAnsi="Arial" w:cs="Arial"/>
              </w:rPr>
            </w:pPr>
            <w:r>
              <w:rPr>
                <w:rFonts w:ascii="Arial" w:hAnsi="Arial" w:cs="Arial"/>
              </w:rPr>
              <w:t>Data protection</w:t>
            </w:r>
          </w:p>
          <w:p w14:paraId="3B20BA69" w14:textId="0F4F195E" w:rsidR="00DE79E3" w:rsidRDefault="00DE79E3" w:rsidP="00241293">
            <w:pPr>
              <w:pStyle w:val="ListParagraph"/>
              <w:numPr>
                <w:ilvl w:val="0"/>
                <w:numId w:val="1"/>
              </w:numPr>
              <w:jc w:val="center"/>
              <w:rPr>
                <w:rFonts w:ascii="Arial" w:hAnsi="Arial" w:cs="Arial"/>
              </w:rPr>
            </w:pPr>
            <w:r>
              <w:rPr>
                <w:rFonts w:ascii="Arial" w:hAnsi="Arial" w:cs="Arial"/>
              </w:rPr>
              <w:t>Performance</w:t>
            </w:r>
          </w:p>
          <w:p w14:paraId="358D1203" w14:textId="740489C9" w:rsidR="00DE79E3" w:rsidRPr="001712C0" w:rsidRDefault="00DE79E3" w:rsidP="00241293">
            <w:pPr>
              <w:pStyle w:val="ListParagraph"/>
              <w:numPr>
                <w:ilvl w:val="0"/>
                <w:numId w:val="1"/>
              </w:numPr>
              <w:jc w:val="center"/>
              <w:rPr>
                <w:rFonts w:ascii="Arial" w:hAnsi="Arial" w:cs="Arial"/>
              </w:rPr>
            </w:pPr>
            <w:r>
              <w:rPr>
                <w:rFonts w:ascii="Arial" w:hAnsi="Arial" w:cs="Arial"/>
              </w:rPr>
              <w:t>Other</w:t>
            </w:r>
          </w:p>
        </w:tc>
        <w:tc>
          <w:tcPr>
            <w:tcW w:w="595"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FF706C">
                <w:pPr>
                  <w:jc w:val="cente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27ECFBF4" w14:textId="77777777" w:rsidR="00946B8A" w:rsidRDefault="00946B8A" w:rsidP="007A35A7">
      <w:pPr>
        <w:rPr>
          <w:rFonts w:ascii="Arial" w:hAnsi="Arial" w:cs="Arial"/>
          <w:b/>
          <w:bCs/>
        </w:rPr>
      </w:pPr>
    </w:p>
    <w:p w14:paraId="63B9262A" w14:textId="77777777" w:rsidR="00946B8A" w:rsidRDefault="00946B8A" w:rsidP="007A35A7">
      <w:pPr>
        <w:rPr>
          <w:rFonts w:ascii="Arial" w:hAnsi="Arial" w:cs="Arial"/>
          <w:b/>
          <w:bCs/>
        </w:rPr>
      </w:pPr>
    </w:p>
    <w:p w14:paraId="256A98A5" w14:textId="77777777" w:rsidR="00946B8A" w:rsidRDefault="00946B8A" w:rsidP="007A35A7">
      <w:pPr>
        <w:rPr>
          <w:rFonts w:ascii="Arial" w:hAnsi="Arial" w:cs="Arial"/>
          <w:b/>
          <w:bCs/>
        </w:rPr>
      </w:pPr>
    </w:p>
    <w:p w14:paraId="040E660B" w14:textId="77777777" w:rsidR="00946B8A" w:rsidRDefault="00946B8A" w:rsidP="007A35A7">
      <w:pPr>
        <w:rPr>
          <w:rFonts w:ascii="Arial" w:hAnsi="Arial" w:cs="Arial"/>
          <w:b/>
          <w:bCs/>
        </w:rPr>
      </w:pPr>
    </w:p>
    <w:p w14:paraId="5F1BEBDD" w14:textId="056EBB26" w:rsidR="007A35A7" w:rsidRPr="00481002" w:rsidRDefault="009D2B9B" w:rsidP="007A35A7">
      <w:pPr>
        <w:rPr>
          <w:rFonts w:ascii="Arial" w:hAnsi="Arial" w:cs="Arial"/>
          <w:b/>
          <w:bCs/>
        </w:rPr>
      </w:pPr>
      <w:r w:rsidRPr="00481002">
        <w:rPr>
          <w:rFonts w:ascii="Arial" w:hAnsi="Arial" w:cs="Arial"/>
          <w:b/>
          <w:bCs/>
        </w:rPr>
        <w:lastRenderedPageBreak/>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9350"/>
      </w:tblGrid>
      <w:tr w:rsidR="00985504" w14:paraId="0DE5211B" w14:textId="77777777" w:rsidTr="00301E85">
        <w:trPr>
          <w:trHeight w:val="1985"/>
        </w:trPr>
        <w:tc>
          <w:tcPr>
            <w:tcW w:w="11096" w:type="dxa"/>
          </w:tcPr>
          <w:p w14:paraId="316F177F" w14:textId="59D11891" w:rsidR="00985504" w:rsidRDefault="00044B66" w:rsidP="007A35A7">
            <w:pPr>
              <w:rPr>
                <w:rFonts w:ascii="Arial" w:hAnsi="Arial" w:cs="Arial"/>
              </w:rPr>
            </w:pPr>
            <w:r>
              <w:rPr>
                <w:rFonts w:ascii="Arial" w:hAnsi="Arial" w:cs="Arial"/>
              </w:rPr>
              <w:t xml:space="preserve">The implementation of a shared care framework will require a shift of resources from secondary care to primary care. </w:t>
            </w:r>
          </w:p>
        </w:tc>
      </w:tr>
    </w:tbl>
    <w:p w14:paraId="42C692AA" w14:textId="77777777" w:rsidR="004A3F76" w:rsidRDefault="004A3F76" w:rsidP="007A35A7">
      <w:pPr>
        <w:rPr>
          <w:rFonts w:ascii="Arial" w:hAnsi="Arial" w:cs="Arial"/>
          <w:b/>
          <w:bCs/>
        </w:rPr>
      </w:pPr>
    </w:p>
    <w:p w14:paraId="163665E4" w14:textId="6379628C" w:rsidR="00DB7724" w:rsidRDefault="00DB7724" w:rsidP="007A35A7">
      <w:pPr>
        <w:rPr>
          <w:rFonts w:ascii="Arial" w:hAnsi="Arial" w:cs="Arial"/>
          <w:b/>
          <w:bCs/>
        </w:rPr>
      </w:pPr>
      <w:r>
        <w:rPr>
          <w:rFonts w:ascii="Arial" w:hAnsi="Arial" w:cs="Arial"/>
          <w:b/>
          <w:bCs/>
        </w:rPr>
        <w:t>Executive Summary</w:t>
      </w:r>
    </w:p>
    <w:p w14:paraId="31725A4E" w14:textId="77777777" w:rsidR="00044B66" w:rsidRDefault="00044B66" w:rsidP="007A35A7">
      <w:pPr>
        <w:rPr>
          <w:rFonts w:ascii="Arial" w:hAnsi="Arial" w:cs="Arial"/>
        </w:rPr>
      </w:pPr>
    </w:p>
    <w:p w14:paraId="70E4F7B6" w14:textId="675573D4" w:rsidR="00044B66" w:rsidRDefault="00044B66" w:rsidP="00044B66">
      <w:pPr>
        <w:rPr>
          <w:rFonts w:ascii="Arial" w:hAnsi="Arial" w:cs="Arial"/>
        </w:rPr>
      </w:pPr>
      <w:r w:rsidRPr="00044B66">
        <w:rPr>
          <w:rFonts w:ascii="Arial" w:hAnsi="Arial" w:cs="Arial"/>
        </w:rPr>
        <w:t>This paper sets out two new shared care prescribing frameworks for ibandronate (an oral bisphosphonate</w:t>
      </w:r>
      <w:proofErr w:type="gramStart"/>
      <w:r w:rsidRPr="00044B66">
        <w:rPr>
          <w:rFonts w:ascii="Arial" w:hAnsi="Arial" w:cs="Arial"/>
        </w:rPr>
        <w:t>);</w:t>
      </w:r>
      <w:proofErr w:type="gramEnd"/>
    </w:p>
    <w:p w14:paraId="544972BE" w14:textId="77777777" w:rsidR="003278C1" w:rsidRPr="00044B66" w:rsidRDefault="003278C1" w:rsidP="00044B66">
      <w:pPr>
        <w:rPr>
          <w:rFonts w:ascii="Arial" w:hAnsi="Arial" w:cs="Arial"/>
        </w:rPr>
      </w:pPr>
    </w:p>
    <w:p w14:paraId="1AFFFB54" w14:textId="77777777" w:rsidR="00044B66" w:rsidRPr="003278C1" w:rsidRDefault="00044B66" w:rsidP="003278C1">
      <w:pPr>
        <w:pStyle w:val="ListParagraph"/>
        <w:numPr>
          <w:ilvl w:val="0"/>
          <w:numId w:val="25"/>
        </w:numPr>
        <w:rPr>
          <w:rFonts w:ascii="Arial" w:hAnsi="Arial" w:cs="Arial"/>
          <w:i/>
          <w:iCs/>
        </w:rPr>
      </w:pPr>
      <w:r w:rsidRPr="003278C1">
        <w:rPr>
          <w:rFonts w:ascii="Arial" w:hAnsi="Arial" w:cs="Arial"/>
          <w:i/>
          <w:iCs/>
        </w:rPr>
        <w:t>Prescribing Framework for Ibandronate for Metastatic Bone Disease (licensed indication)</w:t>
      </w:r>
    </w:p>
    <w:p w14:paraId="695982E1" w14:textId="45A8555B" w:rsidR="00044B66" w:rsidRPr="003278C1" w:rsidRDefault="00044B66" w:rsidP="003278C1">
      <w:pPr>
        <w:pStyle w:val="ListParagraph"/>
        <w:numPr>
          <w:ilvl w:val="0"/>
          <w:numId w:val="25"/>
        </w:numPr>
        <w:rPr>
          <w:rFonts w:ascii="Arial" w:hAnsi="Arial" w:cs="Arial"/>
          <w:i/>
          <w:iCs/>
        </w:rPr>
      </w:pPr>
      <w:r w:rsidRPr="003278C1">
        <w:rPr>
          <w:rFonts w:ascii="Arial" w:hAnsi="Arial" w:cs="Arial"/>
          <w:i/>
          <w:iCs/>
        </w:rPr>
        <w:t>Prescribing Framework for Ibandronate for post-menopausal women with breast cancer (unlicensed indication) – although this is an unlicensed indication there is clinical support for the introduction of bisphosphonates in this cohort of women. It is included in the breast cancer CRG service specification and endorsed as a priority for implementation at the UK Breast Cancer Meeting (UKBCM) in November 2015.</w:t>
      </w:r>
    </w:p>
    <w:p w14:paraId="65DF665D" w14:textId="77777777" w:rsidR="00044B66" w:rsidRPr="003278C1" w:rsidRDefault="00044B66" w:rsidP="00044B66">
      <w:pPr>
        <w:rPr>
          <w:i/>
          <w:iCs/>
        </w:rPr>
      </w:pPr>
    </w:p>
    <w:p w14:paraId="29FEE8E0" w14:textId="0F2109F7" w:rsidR="00044B66" w:rsidRDefault="00044B66" w:rsidP="003278C1">
      <w:pPr>
        <w:jc w:val="both"/>
        <w:rPr>
          <w:rFonts w:ascii="Arial" w:hAnsi="Arial" w:cs="Arial"/>
        </w:rPr>
      </w:pPr>
      <w:r w:rsidRPr="00044B66">
        <w:rPr>
          <w:rFonts w:ascii="Arial" w:hAnsi="Arial" w:cs="Arial"/>
        </w:rPr>
        <w:t xml:space="preserve">Shared care for ibandronate has been identified as part of the Humber Acute Services Review (HASR) and even though patients with metastatic bone disease are still under the care of the oncologists, implementing shared care would alleviate pressure on the breast service. </w:t>
      </w:r>
    </w:p>
    <w:p w14:paraId="0187F76A" w14:textId="77777777" w:rsidR="003278C1" w:rsidRPr="00044B66" w:rsidRDefault="003278C1" w:rsidP="003278C1">
      <w:pPr>
        <w:jc w:val="both"/>
        <w:rPr>
          <w:rFonts w:ascii="Arial" w:hAnsi="Arial" w:cs="Arial"/>
        </w:rPr>
      </w:pPr>
    </w:p>
    <w:p w14:paraId="3338ABDF" w14:textId="582B5734" w:rsidR="00044B66" w:rsidRDefault="00044B66" w:rsidP="003278C1">
      <w:pPr>
        <w:jc w:val="both"/>
        <w:rPr>
          <w:rFonts w:ascii="Arial" w:hAnsi="Arial" w:cs="Arial"/>
        </w:rPr>
      </w:pPr>
      <w:r w:rsidRPr="00044B66">
        <w:rPr>
          <w:rFonts w:ascii="Arial" w:hAnsi="Arial" w:cs="Arial"/>
        </w:rPr>
        <w:t>These shared care agreements have been approved by the Northern Lincolnshire Area Prescribing Committee and the Hull and East Riding Prescribing Committee.</w:t>
      </w:r>
    </w:p>
    <w:p w14:paraId="11BD3A7D" w14:textId="77777777" w:rsidR="003278C1" w:rsidRPr="00044B66" w:rsidRDefault="003278C1" w:rsidP="003278C1">
      <w:pPr>
        <w:jc w:val="both"/>
        <w:rPr>
          <w:rFonts w:ascii="Arial" w:hAnsi="Arial" w:cs="Arial"/>
        </w:rPr>
      </w:pPr>
    </w:p>
    <w:p w14:paraId="72CAB732" w14:textId="664DA4DD" w:rsidR="00DB7724" w:rsidRDefault="00044B66" w:rsidP="003278C1">
      <w:pPr>
        <w:jc w:val="both"/>
        <w:rPr>
          <w:rFonts w:ascii="Arial" w:hAnsi="Arial" w:cs="Arial"/>
        </w:rPr>
      </w:pPr>
      <w:r w:rsidRPr="00044B66">
        <w:rPr>
          <w:rFonts w:ascii="Arial" w:hAnsi="Arial" w:cs="Arial"/>
        </w:rPr>
        <w:t xml:space="preserve">Following approval by </w:t>
      </w:r>
      <w:r w:rsidR="003278C1">
        <w:rPr>
          <w:rFonts w:ascii="Arial" w:hAnsi="Arial" w:cs="Arial"/>
        </w:rPr>
        <w:t>the</w:t>
      </w:r>
      <w:r w:rsidRPr="00044B66">
        <w:rPr>
          <w:rFonts w:ascii="Arial" w:hAnsi="Arial" w:cs="Arial"/>
        </w:rPr>
        <w:t xml:space="preserve"> Committee, the provision will be commissioned from Primary Care in line with the Joint Shared Care Framework for Northern Lincolnshire. It is proposed that Ibandronate would be classified as Level 2 within this framework</w:t>
      </w:r>
    </w:p>
    <w:p w14:paraId="3C69B17B" w14:textId="3DCA9872" w:rsidR="00044B66" w:rsidRDefault="00044B66" w:rsidP="003278C1">
      <w:pPr>
        <w:jc w:val="both"/>
        <w:rPr>
          <w:rFonts w:ascii="Arial" w:hAnsi="Arial" w:cs="Arial"/>
        </w:rPr>
      </w:pPr>
    </w:p>
    <w:p w14:paraId="2047224F" w14:textId="63FC02D2" w:rsidR="00044B66" w:rsidRDefault="00044B66" w:rsidP="00044B66">
      <w:pPr>
        <w:rPr>
          <w:rFonts w:ascii="Arial" w:hAnsi="Arial" w:cs="Arial"/>
        </w:rPr>
      </w:pPr>
    </w:p>
    <w:p w14:paraId="56050F20" w14:textId="1B221A7D" w:rsidR="00044B66" w:rsidRDefault="00044B66" w:rsidP="00044B66">
      <w:pPr>
        <w:rPr>
          <w:rFonts w:ascii="Arial" w:hAnsi="Arial" w:cs="Arial"/>
        </w:rPr>
      </w:pPr>
    </w:p>
    <w:p w14:paraId="065EFB6A" w14:textId="04DFC85C" w:rsidR="00044B66" w:rsidRDefault="00044B66" w:rsidP="00044B66">
      <w:pPr>
        <w:rPr>
          <w:rFonts w:ascii="Arial" w:hAnsi="Arial" w:cs="Arial"/>
        </w:rPr>
      </w:pPr>
    </w:p>
    <w:p w14:paraId="18162367" w14:textId="2458DFD1" w:rsidR="00044B66" w:rsidRDefault="00044B66" w:rsidP="00044B66">
      <w:pPr>
        <w:rPr>
          <w:rFonts w:ascii="Arial" w:hAnsi="Arial" w:cs="Arial"/>
        </w:rPr>
      </w:pPr>
    </w:p>
    <w:p w14:paraId="008F0DA7" w14:textId="0B0B600A" w:rsidR="00044B66" w:rsidRDefault="00044B66" w:rsidP="00044B66">
      <w:pPr>
        <w:rPr>
          <w:rFonts w:ascii="Arial" w:hAnsi="Arial" w:cs="Arial"/>
        </w:rPr>
      </w:pPr>
    </w:p>
    <w:p w14:paraId="4E702518" w14:textId="3F4BD74F" w:rsidR="00044B66" w:rsidRDefault="00044B66" w:rsidP="00044B66">
      <w:pPr>
        <w:rPr>
          <w:rFonts w:ascii="Arial" w:hAnsi="Arial" w:cs="Arial"/>
        </w:rPr>
      </w:pPr>
    </w:p>
    <w:p w14:paraId="5B8FBBBA" w14:textId="3421BA18" w:rsidR="00044B66" w:rsidRDefault="00044B66" w:rsidP="00044B66">
      <w:pPr>
        <w:rPr>
          <w:rFonts w:ascii="Arial" w:hAnsi="Arial" w:cs="Arial"/>
        </w:rPr>
      </w:pPr>
    </w:p>
    <w:p w14:paraId="0CECF74D" w14:textId="79D7EA82" w:rsidR="00044B66" w:rsidRDefault="00044B66" w:rsidP="00044B66">
      <w:pPr>
        <w:rPr>
          <w:rFonts w:ascii="Arial" w:hAnsi="Arial" w:cs="Arial"/>
        </w:rPr>
      </w:pPr>
    </w:p>
    <w:p w14:paraId="6B4C7D80" w14:textId="70779680" w:rsidR="00044B66" w:rsidRDefault="00044B66" w:rsidP="00044B66">
      <w:pPr>
        <w:rPr>
          <w:rFonts w:ascii="Arial" w:hAnsi="Arial" w:cs="Arial"/>
        </w:rPr>
      </w:pPr>
    </w:p>
    <w:p w14:paraId="36D5A835" w14:textId="3DA2CEE6" w:rsidR="00044B66" w:rsidRDefault="00044B66" w:rsidP="00044B66">
      <w:pPr>
        <w:rPr>
          <w:rFonts w:ascii="Arial" w:hAnsi="Arial" w:cs="Arial"/>
        </w:rPr>
      </w:pPr>
    </w:p>
    <w:p w14:paraId="29E818A2" w14:textId="4805D8D7" w:rsidR="00044B66" w:rsidRDefault="00044B66" w:rsidP="00044B66">
      <w:pPr>
        <w:rPr>
          <w:rFonts w:ascii="Arial" w:hAnsi="Arial" w:cs="Arial"/>
        </w:rPr>
      </w:pPr>
    </w:p>
    <w:p w14:paraId="235C8FB7" w14:textId="310230A1" w:rsidR="00044B66" w:rsidRDefault="00044B66" w:rsidP="00044B66">
      <w:pPr>
        <w:rPr>
          <w:rFonts w:ascii="Arial" w:hAnsi="Arial" w:cs="Arial"/>
        </w:rPr>
      </w:pPr>
    </w:p>
    <w:p w14:paraId="3C105F77" w14:textId="5B2B1CF0" w:rsidR="00044B66" w:rsidRDefault="00044B66" w:rsidP="00044B66">
      <w:pPr>
        <w:rPr>
          <w:rFonts w:ascii="Arial" w:hAnsi="Arial" w:cs="Arial"/>
        </w:rPr>
      </w:pPr>
    </w:p>
    <w:p w14:paraId="200212AF" w14:textId="0A9381D8" w:rsidR="00044B66" w:rsidRDefault="00044B66" w:rsidP="00044B66">
      <w:pPr>
        <w:rPr>
          <w:rFonts w:ascii="Arial" w:hAnsi="Arial" w:cs="Arial"/>
        </w:rPr>
      </w:pPr>
    </w:p>
    <w:p w14:paraId="57E8ECC5" w14:textId="1DD02F57" w:rsidR="00044B66" w:rsidRDefault="00044B66" w:rsidP="00044B66">
      <w:pPr>
        <w:rPr>
          <w:rFonts w:ascii="Arial" w:hAnsi="Arial" w:cs="Arial"/>
        </w:rPr>
      </w:pPr>
    </w:p>
    <w:p w14:paraId="56B4D40D" w14:textId="7237E072" w:rsidR="00044B66" w:rsidRDefault="00044B66" w:rsidP="00044B66">
      <w:pPr>
        <w:rPr>
          <w:rFonts w:ascii="Arial" w:hAnsi="Arial" w:cs="Arial"/>
        </w:rPr>
      </w:pPr>
    </w:p>
    <w:p w14:paraId="64AA5A91" w14:textId="76614EE7" w:rsidR="00044B66" w:rsidRDefault="00044B66" w:rsidP="00044B66">
      <w:pPr>
        <w:rPr>
          <w:rFonts w:ascii="Arial" w:hAnsi="Arial" w:cs="Arial"/>
        </w:rPr>
      </w:pPr>
    </w:p>
    <w:p w14:paraId="0E1CF925" w14:textId="088EB26C" w:rsidR="00044B66" w:rsidRDefault="00044B66" w:rsidP="00044B66">
      <w:pPr>
        <w:rPr>
          <w:rFonts w:ascii="Arial" w:hAnsi="Arial" w:cs="Arial"/>
        </w:rPr>
      </w:pPr>
    </w:p>
    <w:p w14:paraId="655F92A1" w14:textId="1E890993" w:rsidR="00044B66" w:rsidRDefault="00044B66" w:rsidP="00044B66">
      <w:pPr>
        <w:rPr>
          <w:rFonts w:ascii="Arial" w:hAnsi="Arial" w:cs="Arial"/>
        </w:rPr>
      </w:pPr>
    </w:p>
    <w:p w14:paraId="0A411323" w14:textId="7D87EB2C" w:rsidR="00044B66" w:rsidRDefault="00044B66" w:rsidP="00044B66">
      <w:pPr>
        <w:rPr>
          <w:rFonts w:ascii="Arial" w:hAnsi="Arial" w:cs="Arial"/>
        </w:rPr>
      </w:pPr>
    </w:p>
    <w:p w14:paraId="6255DF6F" w14:textId="13698742" w:rsidR="00044B66" w:rsidRDefault="00044B66" w:rsidP="00044B66">
      <w:pPr>
        <w:rPr>
          <w:rFonts w:ascii="Arial" w:hAnsi="Arial" w:cs="Arial"/>
        </w:rPr>
      </w:pPr>
    </w:p>
    <w:p w14:paraId="5276B1F6" w14:textId="2E96130B" w:rsidR="00044B66" w:rsidRDefault="00044B66" w:rsidP="00044B66">
      <w:pPr>
        <w:rPr>
          <w:rFonts w:ascii="Arial" w:hAnsi="Arial" w:cs="Arial"/>
        </w:rPr>
      </w:pPr>
    </w:p>
    <w:p w14:paraId="4E655D52" w14:textId="21B9E1D7" w:rsidR="00044B66" w:rsidRDefault="00044B66" w:rsidP="00044B66">
      <w:pPr>
        <w:rPr>
          <w:rFonts w:ascii="Arial" w:hAnsi="Arial" w:cs="Arial"/>
        </w:rPr>
      </w:pPr>
    </w:p>
    <w:p w14:paraId="7319C0C8" w14:textId="3E05A407" w:rsidR="00044B66" w:rsidRDefault="00044B66" w:rsidP="00044B66">
      <w:pPr>
        <w:rPr>
          <w:rFonts w:ascii="Arial" w:hAnsi="Arial" w:cs="Arial"/>
        </w:rPr>
      </w:pPr>
    </w:p>
    <w:p w14:paraId="7972859E" w14:textId="397CFFE0" w:rsidR="00044B66" w:rsidRDefault="00044B66" w:rsidP="00044B66">
      <w:pPr>
        <w:rPr>
          <w:rFonts w:ascii="Arial" w:hAnsi="Arial" w:cs="Arial"/>
        </w:rPr>
      </w:pPr>
    </w:p>
    <w:p w14:paraId="0B71096C" w14:textId="0A832DEF" w:rsidR="00044B66" w:rsidRDefault="00044B66" w:rsidP="00044B66">
      <w:pPr>
        <w:rPr>
          <w:rFonts w:ascii="Arial" w:hAnsi="Arial" w:cs="Arial"/>
        </w:rPr>
      </w:pPr>
    </w:p>
    <w:p w14:paraId="6585D80E" w14:textId="5ABE6DB2" w:rsidR="00044B66" w:rsidRDefault="00044B66" w:rsidP="00044B66">
      <w:pPr>
        <w:rPr>
          <w:rFonts w:ascii="Arial" w:hAnsi="Arial" w:cs="Arial"/>
        </w:rPr>
      </w:pPr>
    </w:p>
    <w:p w14:paraId="568332FC" w14:textId="0247C7EA" w:rsidR="00044B66" w:rsidRDefault="00044B66" w:rsidP="00044B66">
      <w:pPr>
        <w:rPr>
          <w:rFonts w:ascii="Arial" w:hAnsi="Arial" w:cs="Arial"/>
        </w:rPr>
      </w:pPr>
    </w:p>
    <w:p w14:paraId="16CD11BC" w14:textId="542E15D7" w:rsidR="00044B66" w:rsidRDefault="00044B66" w:rsidP="00044B66">
      <w:pPr>
        <w:rPr>
          <w:rFonts w:ascii="Arial" w:hAnsi="Arial" w:cs="Arial"/>
        </w:rPr>
      </w:pPr>
    </w:p>
    <w:p w14:paraId="0708C0F6" w14:textId="75DF4766" w:rsidR="00044B66" w:rsidRDefault="00044B66" w:rsidP="00044B66">
      <w:pPr>
        <w:rPr>
          <w:rFonts w:ascii="Arial" w:hAnsi="Arial" w:cs="Arial"/>
        </w:rPr>
      </w:pPr>
    </w:p>
    <w:p w14:paraId="11C31070" w14:textId="035A6040" w:rsidR="00044B66" w:rsidRDefault="00044B66" w:rsidP="00044B66">
      <w:pPr>
        <w:rPr>
          <w:rFonts w:ascii="Arial" w:hAnsi="Arial" w:cs="Arial"/>
        </w:rPr>
      </w:pPr>
    </w:p>
    <w:p w14:paraId="7DD5F842" w14:textId="77777777" w:rsidR="00044B66" w:rsidRDefault="00044B66" w:rsidP="00044B66">
      <w:pPr>
        <w:keepNext/>
        <w:jc w:val="center"/>
        <w:outlineLvl w:val="0"/>
        <w:rPr>
          <w:rFonts w:ascii="Arial" w:eastAsia="Arial Unicode MS" w:hAnsi="Arial" w:cs="Arial"/>
          <w:b/>
          <w:sz w:val="28"/>
          <w:szCs w:val="28"/>
        </w:rPr>
      </w:pPr>
      <w:r>
        <w:rPr>
          <w:rFonts w:ascii="Arial" w:eastAsia="Arial Unicode MS" w:hAnsi="Arial" w:cs="Arial"/>
          <w:b/>
          <w:sz w:val="28"/>
          <w:szCs w:val="28"/>
        </w:rPr>
        <w:t>Prescribing Framework for I</w:t>
      </w:r>
      <w:r w:rsidRPr="008841A5">
        <w:rPr>
          <w:rFonts w:ascii="Arial" w:eastAsia="Arial Unicode MS" w:hAnsi="Arial" w:cs="Arial"/>
          <w:b/>
          <w:sz w:val="28"/>
          <w:szCs w:val="28"/>
        </w:rPr>
        <w:t>bandronate</w:t>
      </w:r>
      <w:r w:rsidRPr="008841A5">
        <w:rPr>
          <w:rFonts w:ascii="Times New Roman" w:eastAsia="Arial Unicode MS" w:hAnsi="Times New Roman" w:cs="Times New Roman"/>
          <w:b/>
          <w:sz w:val="28"/>
          <w:szCs w:val="28"/>
        </w:rPr>
        <w:t xml:space="preserve"> (</w:t>
      </w:r>
      <w:r w:rsidRPr="008841A5">
        <w:rPr>
          <w:rFonts w:ascii="Arial" w:eastAsia="Arial Unicode MS" w:hAnsi="Arial" w:cs="Arial"/>
          <w:b/>
          <w:sz w:val="28"/>
          <w:szCs w:val="28"/>
        </w:rPr>
        <w:t>oral bisphosphonate)</w:t>
      </w:r>
    </w:p>
    <w:p w14:paraId="14A1ECBF" w14:textId="77777777" w:rsidR="00044B66" w:rsidRPr="008841A5" w:rsidRDefault="00044B66" w:rsidP="00044B66">
      <w:pPr>
        <w:keepNext/>
        <w:jc w:val="center"/>
        <w:outlineLvl w:val="0"/>
        <w:rPr>
          <w:rFonts w:ascii="Arial" w:eastAsia="Arial Unicode MS" w:hAnsi="Arial" w:cs="Arial"/>
          <w:b/>
          <w:sz w:val="28"/>
          <w:szCs w:val="28"/>
        </w:rPr>
      </w:pPr>
      <w:r>
        <w:rPr>
          <w:rFonts w:ascii="Arial" w:eastAsia="Arial Unicode MS" w:hAnsi="Arial" w:cs="Arial"/>
          <w:b/>
          <w:sz w:val="28"/>
          <w:szCs w:val="28"/>
        </w:rPr>
        <w:t>for metastatic bone disease</w:t>
      </w:r>
    </w:p>
    <w:p w14:paraId="23041D1A" w14:textId="77777777" w:rsidR="00044B66" w:rsidRPr="008841A5" w:rsidRDefault="00044B66" w:rsidP="00044B66">
      <w:pPr>
        <w:jc w:val="center"/>
        <w:rPr>
          <w:rFonts w:ascii="Arial" w:eastAsia="Times New Roman" w:hAnsi="Arial" w:cs="Arial"/>
          <w:b/>
        </w:rPr>
      </w:pPr>
    </w:p>
    <w:p w14:paraId="6FDD2D62" w14:textId="77777777" w:rsidR="00044B66" w:rsidRPr="008841A5" w:rsidRDefault="00044B66" w:rsidP="00044B66">
      <w:pPr>
        <w:jc w:val="center"/>
        <w:rPr>
          <w:rFonts w:ascii="Arial" w:eastAsia="Times New Roman" w:hAnsi="Arial" w:cs="Arial"/>
          <w:b/>
        </w:rPr>
      </w:pPr>
    </w:p>
    <w:p w14:paraId="1322F89F" w14:textId="77777777" w:rsidR="00044B66" w:rsidRPr="008841A5" w:rsidRDefault="00044B66" w:rsidP="00044B66">
      <w:pPr>
        <w:keepNext/>
        <w:outlineLvl w:val="2"/>
        <w:rPr>
          <w:rFonts w:ascii="Arial" w:eastAsia="Arial Unicode MS" w:hAnsi="Arial" w:cs="Arial"/>
        </w:rPr>
      </w:pPr>
      <w:r w:rsidRPr="008841A5">
        <w:rPr>
          <w:rFonts w:ascii="Arial" w:eastAsia="Arial Unicode MS" w:hAnsi="Arial" w:cs="Arial"/>
        </w:rPr>
        <w:t xml:space="preserve">Patients </w:t>
      </w:r>
      <w:proofErr w:type="gramStart"/>
      <w:r w:rsidRPr="008841A5">
        <w:rPr>
          <w:rFonts w:ascii="Arial" w:eastAsia="Arial Unicode MS" w:hAnsi="Arial" w:cs="Arial"/>
        </w:rPr>
        <w:t>Name:…</w:t>
      </w:r>
      <w:proofErr w:type="gramEnd"/>
      <w:r w:rsidRPr="008841A5">
        <w:rPr>
          <w:rFonts w:ascii="Arial" w:eastAsia="Arial Unicode MS" w:hAnsi="Arial" w:cs="Arial"/>
        </w:rPr>
        <w:t>……………………… Unit Number: ………………</w:t>
      </w:r>
    </w:p>
    <w:p w14:paraId="3FA8B484" w14:textId="77777777" w:rsidR="00044B66" w:rsidRPr="008841A5" w:rsidRDefault="00044B66" w:rsidP="00044B66">
      <w:pPr>
        <w:rPr>
          <w:rFonts w:ascii="Arial" w:eastAsia="Times New Roman" w:hAnsi="Arial" w:cs="Arial"/>
        </w:rPr>
      </w:pPr>
    </w:p>
    <w:p w14:paraId="4622141A" w14:textId="77777777" w:rsidR="00044B66" w:rsidRPr="008841A5" w:rsidRDefault="00044B66" w:rsidP="00044B66">
      <w:pPr>
        <w:rPr>
          <w:rFonts w:ascii="Arial" w:eastAsia="Times New Roman" w:hAnsi="Arial" w:cs="Arial"/>
        </w:rPr>
      </w:pPr>
      <w:r w:rsidRPr="008841A5">
        <w:rPr>
          <w:rFonts w:ascii="Arial" w:eastAsia="Times New Roman" w:hAnsi="Arial" w:cs="Arial"/>
        </w:rPr>
        <w:t xml:space="preserve">Patients </w:t>
      </w:r>
      <w:proofErr w:type="gramStart"/>
      <w:r w:rsidRPr="008841A5">
        <w:rPr>
          <w:rFonts w:ascii="Arial" w:eastAsia="Times New Roman" w:hAnsi="Arial" w:cs="Arial"/>
        </w:rPr>
        <w:t>Address:…</w:t>
      </w:r>
      <w:proofErr w:type="gramEnd"/>
      <w:r w:rsidRPr="008841A5">
        <w:rPr>
          <w:rFonts w:ascii="Arial" w:eastAsia="Times New Roman" w:hAnsi="Arial" w:cs="Arial"/>
        </w:rPr>
        <w:t>……………………(Use addressograph sticker)</w:t>
      </w:r>
    </w:p>
    <w:p w14:paraId="246A15B8" w14:textId="77777777" w:rsidR="00044B66" w:rsidRDefault="00044B66" w:rsidP="00044B66">
      <w:pPr>
        <w:rPr>
          <w:rFonts w:ascii="Arial" w:eastAsia="Times New Roman" w:hAnsi="Arial" w:cs="Arial"/>
        </w:rPr>
      </w:pPr>
    </w:p>
    <w:p w14:paraId="14CFF961" w14:textId="77777777" w:rsidR="00044B66" w:rsidRDefault="00044B66" w:rsidP="00044B66">
      <w:pPr>
        <w:rPr>
          <w:rFonts w:ascii="Arial" w:eastAsia="Times New Roman" w:hAnsi="Arial" w:cs="Arial"/>
        </w:rPr>
      </w:pPr>
    </w:p>
    <w:p w14:paraId="099EC74C" w14:textId="77777777" w:rsidR="00044B66" w:rsidRDefault="00044B66" w:rsidP="00044B66">
      <w:pPr>
        <w:rPr>
          <w:rFonts w:ascii="Arial" w:eastAsia="Times New Roman" w:hAnsi="Arial" w:cs="Arial"/>
        </w:rPr>
      </w:pPr>
    </w:p>
    <w:p w14:paraId="2B5065E8" w14:textId="77777777" w:rsidR="00044B66" w:rsidRPr="008841A5" w:rsidRDefault="00044B66" w:rsidP="00044B66">
      <w:pPr>
        <w:rPr>
          <w:rFonts w:ascii="Arial" w:eastAsia="Times New Roman" w:hAnsi="Arial" w:cs="Arial"/>
        </w:rPr>
      </w:pPr>
    </w:p>
    <w:p w14:paraId="46625111" w14:textId="77777777" w:rsidR="00044B66" w:rsidRPr="008841A5" w:rsidRDefault="00044B66" w:rsidP="00044B66">
      <w:pPr>
        <w:rPr>
          <w:rFonts w:ascii="Arial" w:eastAsia="Times New Roman" w:hAnsi="Arial" w:cs="Arial"/>
        </w:rPr>
      </w:pPr>
    </w:p>
    <w:p w14:paraId="44CCE692" w14:textId="77777777" w:rsidR="00044B66" w:rsidRPr="008841A5" w:rsidRDefault="00044B66" w:rsidP="00044B66">
      <w:pPr>
        <w:rPr>
          <w:rFonts w:ascii="Arial" w:eastAsia="Times New Roman" w:hAnsi="Arial" w:cs="Arial"/>
        </w:rPr>
      </w:pPr>
      <w:proofErr w:type="gramStart"/>
      <w:r w:rsidRPr="008841A5">
        <w:rPr>
          <w:rFonts w:ascii="Arial" w:eastAsia="Times New Roman" w:hAnsi="Arial" w:cs="Arial"/>
        </w:rPr>
        <w:t>G.P’s</w:t>
      </w:r>
      <w:proofErr w:type="gramEnd"/>
      <w:r w:rsidRPr="008841A5">
        <w:rPr>
          <w:rFonts w:ascii="Arial" w:eastAsia="Times New Roman" w:hAnsi="Arial" w:cs="Arial"/>
        </w:rPr>
        <w:t xml:space="preserve"> Name:……………………………………………………….……..</w:t>
      </w:r>
    </w:p>
    <w:p w14:paraId="03B65060" w14:textId="77777777" w:rsidR="00044B66" w:rsidRPr="008841A5" w:rsidRDefault="00044B66" w:rsidP="00044B66">
      <w:pPr>
        <w:rPr>
          <w:rFonts w:ascii="Arial" w:eastAsia="Times New Roman" w:hAnsi="Arial" w:cs="Arial"/>
        </w:rPr>
      </w:pPr>
    </w:p>
    <w:p w14:paraId="0436247B" w14:textId="77777777" w:rsidR="00044B66" w:rsidRPr="008841A5" w:rsidRDefault="00044B66" w:rsidP="00044B66">
      <w:pPr>
        <w:rPr>
          <w:rFonts w:ascii="Arial" w:eastAsia="Times New Roman" w:hAnsi="Arial" w:cs="Arial"/>
          <w:b/>
        </w:rPr>
      </w:pPr>
    </w:p>
    <w:p w14:paraId="2C223F9A" w14:textId="77777777" w:rsidR="00044B66" w:rsidRPr="008841A5" w:rsidRDefault="00044B66" w:rsidP="00044B66">
      <w:pPr>
        <w:rPr>
          <w:rFonts w:ascii="Arial" w:eastAsia="Times New Roman" w:hAnsi="Arial" w:cs="Arial"/>
          <w:b/>
        </w:rPr>
      </w:pPr>
    </w:p>
    <w:p w14:paraId="38EEC446" w14:textId="77777777" w:rsidR="00044B66" w:rsidRPr="008841A5" w:rsidRDefault="00044B66" w:rsidP="00044B66">
      <w:pPr>
        <w:keepNext/>
        <w:outlineLvl w:val="1"/>
        <w:rPr>
          <w:rFonts w:ascii="Arial" w:eastAsia="Arial Unicode MS" w:hAnsi="Arial" w:cs="Arial"/>
          <w:b/>
        </w:rPr>
      </w:pPr>
      <w:r w:rsidRPr="008841A5">
        <w:rPr>
          <w:rFonts w:ascii="Arial" w:eastAsia="Arial Unicode MS" w:hAnsi="Arial" w:cs="Arial"/>
          <w:b/>
        </w:rPr>
        <w:t>Communication</w:t>
      </w:r>
    </w:p>
    <w:p w14:paraId="3AEC764A" w14:textId="77777777" w:rsidR="00044B66" w:rsidRDefault="00044B66" w:rsidP="00044B66">
      <w:pPr>
        <w:rPr>
          <w:rFonts w:ascii="Arial" w:eastAsia="Times New Roman" w:hAnsi="Arial" w:cs="Arial"/>
        </w:rPr>
      </w:pPr>
      <w:r w:rsidRPr="00AD5C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B832D14" wp14:editId="32653075">
                <wp:simplePos x="0" y="0"/>
                <wp:positionH relativeFrom="column">
                  <wp:posOffset>-647065</wp:posOffset>
                </wp:positionH>
                <wp:positionV relativeFrom="paragraph">
                  <wp:posOffset>72390</wp:posOffset>
                </wp:positionV>
                <wp:extent cx="6762115" cy="2850515"/>
                <wp:effectExtent l="0" t="0" r="19685"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50515"/>
                        </a:xfrm>
                        <a:prstGeom prst="rect">
                          <a:avLst/>
                        </a:prstGeom>
                        <a:solidFill>
                          <a:srgbClr val="FFFFFF"/>
                        </a:solidFill>
                        <a:ln w="9525">
                          <a:solidFill>
                            <a:srgbClr val="000000"/>
                          </a:solidFill>
                          <a:miter lim="800000"/>
                          <a:headEnd/>
                          <a:tailEnd/>
                        </a:ln>
                      </wps:spPr>
                      <wps:txbx>
                        <w:txbxContent>
                          <w:p w14:paraId="1764EE14" w14:textId="77777777" w:rsidR="00044B66" w:rsidRPr="00621D17" w:rsidRDefault="00044B66" w:rsidP="00044B66">
                            <w:pPr>
                              <w:rPr>
                                <w:rFonts w:ascii="Arial" w:hAnsi="Arial" w:cs="Arial"/>
                              </w:rPr>
                            </w:pPr>
                            <w:r w:rsidRPr="00621D17">
                              <w:rPr>
                                <w:rFonts w:ascii="Arial" w:hAnsi="Arial" w:cs="Arial"/>
                              </w:rPr>
                              <w:t>We agree to treat this patient within this Prescribing Framework</w:t>
                            </w:r>
                          </w:p>
                          <w:p w14:paraId="160E35EE" w14:textId="77777777" w:rsidR="00044B66" w:rsidRPr="00621D17" w:rsidRDefault="00044B66" w:rsidP="00044B66">
                            <w:pPr>
                              <w:rPr>
                                <w:rFonts w:ascii="Arial" w:hAnsi="Arial" w:cs="Arial"/>
                              </w:rPr>
                            </w:pPr>
                            <w:r w:rsidRPr="00621D17">
                              <w:rPr>
                                <w:rFonts w:ascii="Arial" w:hAnsi="Arial" w:cs="Arial"/>
                              </w:rPr>
                              <w:t xml:space="preserve">Specialist Prescriber’s Name…………………………………………     Prof Reg. No. </w:t>
                            </w:r>
                            <w:r>
                              <w:rPr>
                                <w:rFonts w:ascii="Arial" w:hAnsi="Arial" w:cs="Arial"/>
                              </w:rPr>
                              <w:t>……</w:t>
                            </w:r>
                          </w:p>
                          <w:p w14:paraId="3A37BBEF" w14:textId="77777777" w:rsidR="00044B66" w:rsidRPr="00621D17" w:rsidRDefault="00044B66" w:rsidP="00044B66">
                            <w:pPr>
                              <w:rPr>
                                <w:rFonts w:ascii="Arial" w:hAnsi="Arial" w:cs="Arial"/>
                              </w:rPr>
                            </w:pPr>
                            <w:r w:rsidRPr="00621D17">
                              <w:rPr>
                                <w:rFonts w:ascii="Arial" w:hAnsi="Arial" w:cs="Arial"/>
                              </w:rPr>
                              <w:t xml:space="preserve">Specialist Prescriber’s Signature……………………………………      </w:t>
                            </w:r>
                            <w:proofErr w:type="gramStart"/>
                            <w:r w:rsidRPr="00621D17">
                              <w:rPr>
                                <w:rFonts w:ascii="Arial" w:hAnsi="Arial" w:cs="Arial"/>
                              </w:rPr>
                              <w:t>Date:…</w:t>
                            </w:r>
                            <w:proofErr w:type="gramEnd"/>
                            <w:r>
                              <w:rPr>
                                <w:rFonts w:ascii="Arial" w:hAnsi="Arial" w:cs="Arial"/>
                              </w:rPr>
                              <w:t>………………</w:t>
                            </w:r>
                          </w:p>
                          <w:p w14:paraId="07319CD0" w14:textId="77777777" w:rsidR="00044B66" w:rsidRDefault="00044B66" w:rsidP="00044B66">
                            <w:pPr>
                              <w:rPr>
                                <w:rFonts w:ascii="Arial" w:hAnsi="Arial" w:cs="Arial"/>
                                <w:i/>
                              </w:rPr>
                            </w:pPr>
                          </w:p>
                          <w:p w14:paraId="15599B00" w14:textId="77777777" w:rsidR="00044B66" w:rsidRPr="00621D17" w:rsidRDefault="00044B66" w:rsidP="00044B66">
                            <w:pPr>
                              <w:rPr>
                                <w:rFonts w:ascii="Arial" w:hAnsi="Arial" w:cs="Arial"/>
                                <w:i/>
                              </w:rPr>
                            </w:pPr>
                            <w:r w:rsidRPr="00621D17">
                              <w:rPr>
                                <w:rFonts w:ascii="Arial" w:hAnsi="Arial" w:cs="Arial"/>
                                <w:i/>
                              </w:rPr>
                              <w:t xml:space="preserve">Where prescriber is </w:t>
                            </w:r>
                            <w:r w:rsidRPr="00621D17">
                              <w:rPr>
                                <w:rFonts w:ascii="Arial" w:hAnsi="Arial" w:cs="Arial"/>
                                <w:i/>
                                <w:u w:val="single"/>
                              </w:rPr>
                              <w:t>not</w:t>
                            </w:r>
                            <w:r w:rsidRPr="00621D17">
                              <w:rPr>
                                <w:rFonts w:ascii="Arial" w:hAnsi="Arial" w:cs="Arial"/>
                                <w:i/>
                              </w:rPr>
                              <w:t xml:space="preserve"> a consultant:</w:t>
                            </w:r>
                          </w:p>
                          <w:p w14:paraId="299C14C3" w14:textId="77777777" w:rsidR="00044B66" w:rsidRPr="00621D17" w:rsidRDefault="00044B66" w:rsidP="00044B66">
                            <w:pPr>
                              <w:rPr>
                                <w:rFonts w:ascii="Arial" w:hAnsi="Arial" w:cs="Arial"/>
                              </w:rPr>
                            </w:pPr>
                            <w:r w:rsidRPr="00621D17">
                              <w:rPr>
                                <w:rFonts w:ascii="Arial" w:hAnsi="Arial" w:cs="Arial"/>
                              </w:rPr>
                              <w:t xml:space="preserve">Consultant’s Name: …………………………………………………       GMC No </w:t>
                            </w:r>
                            <w:r>
                              <w:rPr>
                                <w:rFonts w:ascii="Arial" w:hAnsi="Arial" w:cs="Arial"/>
                              </w:rPr>
                              <w:t>…………….</w:t>
                            </w:r>
                          </w:p>
                          <w:p w14:paraId="63D5346F" w14:textId="77777777" w:rsidR="00044B66" w:rsidRPr="00621D17" w:rsidRDefault="00044B66" w:rsidP="00044B66">
                            <w:pPr>
                              <w:rPr>
                                <w:rFonts w:ascii="Arial" w:hAnsi="Arial" w:cs="Arial"/>
                              </w:rPr>
                            </w:pPr>
                            <w:r w:rsidRPr="00621D17">
                              <w:rPr>
                                <w:rFonts w:ascii="Arial" w:hAnsi="Arial" w:cs="Arial"/>
                              </w:rPr>
                              <w:t xml:space="preserve">Consultant’s Signature ………………………….... ……………….       </w:t>
                            </w:r>
                            <w:proofErr w:type="gramStart"/>
                            <w:r w:rsidRPr="00621D17">
                              <w:rPr>
                                <w:rFonts w:ascii="Arial" w:hAnsi="Arial" w:cs="Arial"/>
                              </w:rPr>
                              <w:t>Date:</w:t>
                            </w:r>
                            <w:r>
                              <w:rPr>
                                <w:rFonts w:ascii="Arial" w:hAnsi="Arial" w:cs="Arial"/>
                              </w:rPr>
                              <w:t>…</w:t>
                            </w:r>
                            <w:proofErr w:type="gramEnd"/>
                            <w:r>
                              <w:rPr>
                                <w:rFonts w:ascii="Arial" w:hAnsi="Arial" w:cs="Arial"/>
                              </w:rPr>
                              <w:t>………………</w:t>
                            </w:r>
                          </w:p>
                          <w:p w14:paraId="05497DFD" w14:textId="77777777" w:rsidR="00044B66" w:rsidRPr="00621D17" w:rsidRDefault="00044B66" w:rsidP="00044B66">
                            <w:pPr>
                              <w:rPr>
                                <w:rFonts w:ascii="Arial" w:hAnsi="Arial" w:cs="Arial"/>
                              </w:rPr>
                            </w:pPr>
                          </w:p>
                          <w:p w14:paraId="6F730975" w14:textId="77777777" w:rsidR="00044B66" w:rsidRPr="00621D17" w:rsidRDefault="00044B66" w:rsidP="00044B66">
                            <w:pPr>
                              <w:rPr>
                                <w:rFonts w:ascii="Arial" w:hAnsi="Arial" w:cs="Arial"/>
                              </w:rPr>
                            </w:pPr>
                            <w:r w:rsidRPr="00621D17">
                              <w:rPr>
                                <w:rFonts w:ascii="Arial" w:hAnsi="Arial" w:cs="Arial"/>
                              </w:rPr>
                              <w:t xml:space="preserve">GP’s </w:t>
                            </w:r>
                            <w:proofErr w:type="gramStart"/>
                            <w:r w:rsidRPr="00621D17">
                              <w:rPr>
                                <w:rFonts w:ascii="Arial" w:hAnsi="Arial" w:cs="Arial"/>
                              </w:rPr>
                              <w:t>Signature:…</w:t>
                            </w:r>
                            <w:proofErr w:type="gramEnd"/>
                            <w:r w:rsidRPr="00621D17">
                              <w:rPr>
                                <w:rFonts w:ascii="Arial" w:hAnsi="Arial" w:cs="Arial"/>
                              </w:rPr>
                              <w:t>…………………</w:t>
                            </w:r>
                            <w:r>
                              <w:rPr>
                                <w:rFonts w:ascii="Arial" w:hAnsi="Arial" w:cs="Arial"/>
                              </w:rPr>
                              <w:t xml:space="preserve">……………………………………   </w:t>
                            </w:r>
                            <w:proofErr w:type="gramStart"/>
                            <w:r>
                              <w:rPr>
                                <w:rFonts w:ascii="Arial" w:hAnsi="Arial" w:cs="Arial"/>
                              </w:rPr>
                              <w:t>Date:…</w:t>
                            </w:r>
                            <w:proofErr w:type="gramEnd"/>
                            <w:r>
                              <w:rPr>
                                <w:rFonts w:ascii="Arial" w:hAnsi="Arial" w:cs="Arial"/>
                              </w:rPr>
                              <w:t>………………</w:t>
                            </w:r>
                          </w:p>
                          <w:p w14:paraId="2B3EB056" w14:textId="77777777" w:rsidR="00044B66" w:rsidRPr="00621D17" w:rsidRDefault="00044B66" w:rsidP="00044B66">
                            <w:pPr>
                              <w:rPr>
                                <w:rFonts w:ascii="Arial" w:hAnsi="Arial" w:cs="Arial"/>
                              </w:rPr>
                            </w:pPr>
                          </w:p>
                          <w:p w14:paraId="1EFF9D33" w14:textId="77777777" w:rsidR="00044B66" w:rsidRPr="00621D17" w:rsidRDefault="00044B66" w:rsidP="00044B66">
                            <w:pPr>
                              <w:rPr>
                                <w:rFonts w:ascii="Arial" w:hAnsi="Arial" w:cs="Arial"/>
                              </w:rPr>
                            </w:pPr>
                            <w:r w:rsidRPr="00621D17">
                              <w:rPr>
                                <w:rFonts w:ascii="Arial" w:hAnsi="Arial" w:cs="Arial"/>
                              </w:rPr>
                              <w:t xml:space="preserve">GP’s Name (if different from listed </w:t>
                            </w:r>
                            <w:proofErr w:type="gramStart"/>
                            <w:r w:rsidRPr="00621D17">
                              <w:rPr>
                                <w:rFonts w:ascii="Arial" w:hAnsi="Arial" w:cs="Arial"/>
                              </w:rPr>
                              <w:t>above)…</w:t>
                            </w:r>
                            <w:proofErr w:type="gramEnd"/>
                            <w:r w:rsidRPr="00621D17">
                              <w:rPr>
                                <w:rFonts w:ascii="Arial" w:hAnsi="Arial" w:cs="Arial"/>
                              </w:rPr>
                              <w:t>………………………..</w:t>
                            </w:r>
                          </w:p>
                          <w:p w14:paraId="4F3E6BB8" w14:textId="77777777" w:rsidR="00044B66" w:rsidRPr="00621D17" w:rsidRDefault="00044B66" w:rsidP="00044B6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32D14" id="_x0000_t202" coordsize="21600,21600" o:spt="202" path="m,l,21600r21600,l21600,xe">
                <v:stroke joinstyle="miter"/>
                <v:path gradientshapeok="t" o:connecttype="rect"/>
              </v:shapetype>
              <v:shape id="Text Box 2" o:spid="_x0000_s1027" type="#_x0000_t202" style="position:absolute;margin-left:-50.95pt;margin-top:5.7pt;width:532.45pt;height:2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zyKwIAAFk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">
                <v:textbox>
                  <w:txbxContent>
                    <w:p w14:paraId="1764EE14" w14:textId="77777777" w:rsidR="00044B66" w:rsidRPr="00621D17" w:rsidRDefault="00044B66" w:rsidP="00044B66">
                      <w:pPr>
                        <w:rPr>
                          <w:rFonts w:ascii="Arial" w:hAnsi="Arial" w:cs="Arial"/>
                        </w:rPr>
                      </w:pPr>
                      <w:r w:rsidRPr="00621D17">
                        <w:rPr>
                          <w:rFonts w:ascii="Arial" w:hAnsi="Arial" w:cs="Arial"/>
                        </w:rPr>
                        <w:t>We agree to treat this patient within this Prescribing Framework</w:t>
                      </w:r>
                    </w:p>
                    <w:p w14:paraId="160E35EE" w14:textId="77777777" w:rsidR="00044B66" w:rsidRPr="00621D17" w:rsidRDefault="00044B66" w:rsidP="00044B66">
                      <w:pPr>
                        <w:rPr>
                          <w:rFonts w:ascii="Arial" w:hAnsi="Arial" w:cs="Arial"/>
                        </w:rPr>
                      </w:pPr>
                      <w:r w:rsidRPr="00621D17">
                        <w:rPr>
                          <w:rFonts w:ascii="Arial" w:hAnsi="Arial" w:cs="Arial"/>
                        </w:rPr>
                        <w:t xml:space="preserve">Specialist Prescriber’s Name…………………………………………     Prof Reg. No. </w:t>
                      </w:r>
                      <w:r>
                        <w:rPr>
                          <w:rFonts w:ascii="Arial" w:hAnsi="Arial" w:cs="Arial"/>
                        </w:rPr>
                        <w:t>……</w:t>
                      </w:r>
                    </w:p>
                    <w:p w14:paraId="3A37BBEF" w14:textId="77777777" w:rsidR="00044B66" w:rsidRPr="00621D17" w:rsidRDefault="00044B66" w:rsidP="00044B66">
                      <w:pPr>
                        <w:rPr>
                          <w:rFonts w:ascii="Arial" w:hAnsi="Arial" w:cs="Arial"/>
                        </w:rPr>
                      </w:pPr>
                      <w:r w:rsidRPr="00621D17">
                        <w:rPr>
                          <w:rFonts w:ascii="Arial" w:hAnsi="Arial" w:cs="Arial"/>
                        </w:rPr>
                        <w:t xml:space="preserve">Specialist Prescriber’s Signature……………………………………      </w:t>
                      </w:r>
                      <w:proofErr w:type="gramStart"/>
                      <w:r w:rsidRPr="00621D17">
                        <w:rPr>
                          <w:rFonts w:ascii="Arial" w:hAnsi="Arial" w:cs="Arial"/>
                        </w:rPr>
                        <w:t>Date:…</w:t>
                      </w:r>
                      <w:proofErr w:type="gramEnd"/>
                      <w:r>
                        <w:rPr>
                          <w:rFonts w:ascii="Arial" w:hAnsi="Arial" w:cs="Arial"/>
                        </w:rPr>
                        <w:t>………………</w:t>
                      </w:r>
                    </w:p>
                    <w:p w14:paraId="07319CD0" w14:textId="77777777" w:rsidR="00044B66" w:rsidRDefault="00044B66" w:rsidP="00044B66">
                      <w:pPr>
                        <w:rPr>
                          <w:rFonts w:ascii="Arial" w:hAnsi="Arial" w:cs="Arial"/>
                          <w:i/>
                        </w:rPr>
                      </w:pPr>
                    </w:p>
                    <w:p w14:paraId="15599B00" w14:textId="77777777" w:rsidR="00044B66" w:rsidRPr="00621D17" w:rsidRDefault="00044B66" w:rsidP="00044B66">
                      <w:pPr>
                        <w:rPr>
                          <w:rFonts w:ascii="Arial" w:hAnsi="Arial" w:cs="Arial"/>
                          <w:i/>
                        </w:rPr>
                      </w:pPr>
                      <w:r w:rsidRPr="00621D17">
                        <w:rPr>
                          <w:rFonts w:ascii="Arial" w:hAnsi="Arial" w:cs="Arial"/>
                          <w:i/>
                        </w:rPr>
                        <w:t xml:space="preserve">Where prescriber is </w:t>
                      </w:r>
                      <w:r w:rsidRPr="00621D17">
                        <w:rPr>
                          <w:rFonts w:ascii="Arial" w:hAnsi="Arial" w:cs="Arial"/>
                          <w:i/>
                          <w:u w:val="single"/>
                        </w:rPr>
                        <w:t>not</w:t>
                      </w:r>
                      <w:r w:rsidRPr="00621D17">
                        <w:rPr>
                          <w:rFonts w:ascii="Arial" w:hAnsi="Arial" w:cs="Arial"/>
                          <w:i/>
                        </w:rPr>
                        <w:t xml:space="preserve"> a consultant:</w:t>
                      </w:r>
                    </w:p>
                    <w:p w14:paraId="299C14C3" w14:textId="77777777" w:rsidR="00044B66" w:rsidRPr="00621D17" w:rsidRDefault="00044B66" w:rsidP="00044B66">
                      <w:pPr>
                        <w:rPr>
                          <w:rFonts w:ascii="Arial" w:hAnsi="Arial" w:cs="Arial"/>
                        </w:rPr>
                      </w:pPr>
                      <w:r w:rsidRPr="00621D17">
                        <w:rPr>
                          <w:rFonts w:ascii="Arial" w:hAnsi="Arial" w:cs="Arial"/>
                        </w:rPr>
                        <w:t xml:space="preserve">Consultant’s Name: …………………………………………………       GMC No </w:t>
                      </w:r>
                      <w:r>
                        <w:rPr>
                          <w:rFonts w:ascii="Arial" w:hAnsi="Arial" w:cs="Arial"/>
                        </w:rPr>
                        <w:t>…………….</w:t>
                      </w:r>
                    </w:p>
                    <w:p w14:paraId="63D5346F" w14:textId="77777777" w:rsidR="00044B66" w:rsidRPr="00621D17" w:rsidRDefault="00044B66" w:rsidP="00044B66">
                      <w:pPr>
                        <w:rPr>
                          <w:rFonts w:ascii="Arial" w:hAnsi="Arial" w:cs="Arial"/>
                        </w:rPr>
                      </w:pPr>
                      <w:r w:rsidRPr="00621D17">
                        <w:rPr>
                          <w:rFonts w:ascii="Arial" w:hAnsi="Arial" w:cs="Arial"/>
                        </w:rPr>
                        <w:t xml:space="preserve">Consultant’s Signature ………………………….... ……………….       </w:t>
                      </w:r>
                      <w:proofErr w:type="gramStart"/>
                      <w:r w:rsidRPr="00621D17">
                        <w:rPr>
                          <w:rFonts w:ascii="Arial" w:hAnsi="Arial" w:cs="Arial"/>
                        </w:rPr>
                        <w:t>Date:</w:t>
                      </w:r>
                      <w:r>
                        <w:rPr>
                          <w:rFonts w:ascii="Arial" w:hAnsi="Arial" w:cs="Arial"/>
                        </w:rPr>
                        <w:t>…</w:t>
                      </w:r>
                      <w:proofErr w:type="gramEnd"/>
                      <w:r>
                        <w:rPr>
                          <w:rFonts w:ascii="Arial" w:hAnsi="Arial" w:cs="Arial"/>
                        </w:rPr>
                        <w:t>………………</w:t>
                      </w:r>
                    </w:p>
                    <w:p w14:paraId="05497DFD" w14:textId="77777777" w:rsidR="00044B66" w:rsidRPr="00621D17" w:rsidRDefault="00044B66" w:rsidP="00044B66">
                      <w:pPr>
                        <w:rPr>
                          <w:rFonts w:ascii="Arial" w:hAnsi="Arial" w:cs="Arial"/>
                        </w:rPr>
                      </w:pPr>
                    </w:p>
                    <w:p w14:paraId="6F730975" w14:textId="77777777" w:rsidR="00044B66" w:rsidRPr="00621D17" w:rsidRDefault="00044B66" w:rsidP="00044B66">
                      <w:pPr>
                        <w:rPr>
                          <w:rFonts w:ascii="Arial" w:hAnsi="Arial" w:cs="Arial"/>
                        </w:rPr>
                      </w:pPr>
                      <w:r w:rsidRPr="00621D17">
                        <w:rPr>
                          <w:rFonts w:ascii="Arial" w:hAnsi="Arial" w:cs="Arial"/>
                        </w:rPr>
                        <w:t xml:space="preserve">GP’s </w:t>
                      </w:r>
                      <w:proofErr w:type="gramStart"/>
                      <w:r w:rsidRPr="00621D17">
                        <w:rPr>
                          <w:rFonts w:ascii="Arial" w:hAnsi="Arial" w:cs="Arial"/>
                        </w:rPr>
                        <w:t>Signature:…</w:t>
                      </w:r>
                      <w:proofErr w:type="gramEnd"/>
                      <w:r w:rsidRPr="00621D17">
                        <w:rPr>
                          <w:rFonts w:ascii="Arial" w:hAnsi="Arial" w:cs="Arial"/>
                        </w:rPr>
                        <w:t>…………………</w:t>
                      </w:r>
                      <w:r>
                        <w:rPr>
                          <w:rFonts w:ascii="Arial" w:hAnsi="Arial" w:cs="Arial"/>
                        </w:rPr>
                        <w:t xml:space="preserve">……………………………………   </w:t>
                      </w:r>
                      <w:proofErr w:type="gramStart"/>
                      <w:r>
                        <w:rPr>
                          <w:rFonts w:ascii="Arial" w:hAnsi="Arial" w:cs="Arial"/>
                        </w:rPr>
                        <w:t>Date:…</w:t>
                      </w:r>
                      <w:proofErr w:type="gramEnd"/>
                      <w:r>
                        <w:rPr>
                          <w:rFonts w:ascii="Arial" w:hAnsi="Arial" w:cs="Arial"/>
                        </w:rPr>
                        <w:t>………………</w:t>
                      </w:r>
                    </w:p>
                    <w:p w14:paraId="2B3EB056" w14:textId="77777777" w:rsidR="00044B66" w:rsidRPr="00621D17" w:rsidRDefault="00044B66" w:rsidP="00044B66">
                      <w:pPr>
                        <w:rPr>
                          <w:rFonts w:ascii="Arial" w:hAnsi="Arial" w:cs="Arial"/>
                        </w:rPr>
                      </w:pPr>
                    </w:p>
                    <w:p w14:paraId="1EFF9D33" w14:textId="77777777" w:rsidR="00044B66" w:rsidRPr="00621D17" w:rsidRDefault="00044B66" w:rsidP="00044B66">
                      <w:pPr>
                        <w:rPr>
                          <w:rFonts w:ascii="Arial" w:hAnsi="Arial" w:cs="Arial"/>
                        </w:rPr>
                      </w:pPr>
                      <w:r w:rsidRPr="00621D17">
                        <w:rPr>
                          <w:rFonts w:ascii="Arial" w:hAnsi="Arial" w:cs="Arial"/>
                        </w:rPr>
                        <w:t xml:space="preserve">GP’s Name (if different from listed </w:t>
                      </w:r>
                      <w:proofErr w:type="gramStart"/>
                      <w:r w:rsidRPr="00621D17">
                        <w:rPr>
                          <w:rFonts w:ascii="Arial" w:hAnsi="Arial" w:cs="Arial"/>
                        </w:rPr>
                        <w:t>above)…</w:t>
                      </w:r>
                      <w:proofErr w:type="gramEnd"/>
                      <w:r w:rsidRPr="00621D17">
                        <w:rPr>
                          <w:rFonts w:ascii="Arial" w:hAnsi="Arial" w:cs="Arial"/>
                        </w:rPr>
                        <w:t>………………………..</w:t>
                      </w:r>
                    </w:p>
                    <w:p w14:paraId="4F3E6BB8" w14:textId="77777777" w:rsidR="00044B66" w:rsidRPr="00621D17" w:rsidRDefault="00044B66" w:rsidP="00044B66">
                      <w:pPr>
                        <w:rPr>
                          <w:rFonts w:ascii="Arial" w:hAnsi="Arial" w:cs="Arial"/>
                        </w:rPr>
                      </w:pPr>
                    </w:p>
                  </w:txbxContent>
                </v:textbox>
              </v:shape>
            </w:pict>
          </mc:Fallback>
        </mc:AlternateContent>
      </w:r>
    </w:p>
    <w:p w14:paraId="1C82CBF4" w14:textId="77777777" w:rsidR="00044B66" w:rsidRDefault="00044B66" w:rsidP="00044B66">
      <w:pPr>
        <w:rPr>
          <w:rFonts w:ascii="Arial" w:eastAsia="Times New Roman" w:hAnsi="Arial" w:cs="Arial"/>
        </w:rPr>
      </w:pPr>
    </w:p>
    <w:p w14:paraId="60D705AA" w14:textId="77777777" w:rsidR="00044B66" w:rsidRDefault="00044B66" w:rsidP="00044B66">
      <w:pPr>
        <w:rPr>
          <w:rFonts w:ascii="Arial" w:eastAsia="Times New Roman" w:hAnsi="Arial" w:cs="Arial"/>
        </w:rPr>
      </w:pPr>
    </w:p>
    <w:p w14:paraId="3401232D" w14:textId="77777777" w:rsidR="00044B66" w:rsidRDefault="00044B66" w:rsidP="00044B66">
      <w:pPr>
        <w:rPr>
          <w:rFonts w:ascii="Arial" w:eastAsia="Times New Roman" w:hAnsi="Arial" w:cs="Arial"/>
        </w:rPr>
      </w:pPr>
    </w:p>
    <w:p w14:paraId="2AAF35B6" w14:textId="77777777" w:rsidR="00044B66" w:rsidRDefault="00044B66" w:rsidP="00044B66">
      <w:pPr>
        <w:rPr>
          <w:rFonts w:ascii="Arial" w:eastAsia="Times New Roman" w:hAnsi="Arial" w:cs="Arial"/>
        </w:rPr>
      </w:pPr>
    </w:p>
    <w:p w14:paraId="1EAC6215" w14:textId="77777777" w:rsidR="00044B66" w:rsidRDefault="00044B66" w:rsidP="00044B66">
      <w:pPr>
        <w:rPr>
          <w:rFonts w:ascii="Arial" w:eastAsia="Times New Roman" w:hAnsi="Arial" w:cs="Arial"/>
        </w:rPr>
      </w:pPr>
    </w:p>
    <w:p w14:paraId="563B86BC" w14:textId="77777777" w:rsidR="00044B66" w:rsidRDefault="00044B66" w:rsidP="00044B66">
      <w:pPr>
        <w:rPr>
          <w:rFonts w:ascii="Arial" w:eastAsia="Times New Roman" w:hAnsi="Arial" w:cs="Arial"/>
        </w:rPr>
      </w:pPr>
    </w:p>
    <w:p w14:paraId="44ACC299" w14:textId="77777777" w:rsidR="00044B66" w:rsidRDefault="00044B66" w:rsidP="00044B66">
      <w:pPr>
        <w:rPr>
          <w:rFonts w:ascii="Arial" w:eastAsia="Times New Roman" w:hAnsi="Arial" w:cs="Arial"/>
        </w:rPr>
      </w:pPr>
    </w:p>
    <w:p w14:paraId="32B23B6E" w14:textId="77777777" w:rsidR="00044B66" w:rsidRDefault="00044B66" w:rsidP="00044B66">
      <w:pPr>
        <w:rPr>
          <w:rFonts w:ascii="Arial" w:eastAsia="Times New Roman" w:hAnsi="Arial" w:cs="Arial"/>
        </w:rPr>
      </w:pPr>
    </w:p>
    <w:p w14:paraId="7A9EA840" w14:textId="77777777" w:rsidR="00044B66" w:rsidRDefault="00044B66" w:rsidP="00044B66">
      <w:pPr>
        <w:rPr>
          <w:rFonts w:ascii="Arial" w:eastAsia="Times New Roman" w:hAnsi="Arial" w:cs="Arial"/>
        </w:rPr>
      </w:pPr>
    </w:p>
    <w:p w14:paraId="33A98F6B" w14:textId="77777777" w:rsidR="00044B66" w:rsidRDefault="00044B66" w:rsidP="00044B66">
      <w:pPr>
        <w:rPr>
          <w:rFonts w:ascii="Arial" w:eastAsia="Times New Roman" w:hAnsi="Arial" w:cs="Arial"/>
        </w:rPr>
      </w:pPr>
    </w:p>
    <w:p w14:paraId="0AEFD291" w14:textId="77777777" w:rsidR="00044B66" w:rsidRDefault="00044B66" w:rsidP="00044B66">
      <w:pPr>
        <w:rPr>
          <w:rFonts w:ascii="Arial" w:eastAsia="Times New Roman" w:hAnsi="Arial" w:cs="Arial"/>
        </w:rPr>
      </w:pPr>
    </w:p>
    <w:p w14:paraId="2D6DBE39" w14:textId="77777777" w:rsidR="00044B66" w:rsidRDefault="00044B66" w:rsidP="00044B66">
      <w:pPr>
        <w:rPr>
          <w:rFonts w:ascii="Arial" w:eastAsia="Times New Roman" w:hAnsi="Arial" w:cs="Arial"/>
        </w:rPr>
      </w:pPr>
    </w:p>
    <w:p w14:paraId="6627575D" w14:textId="77777777" w:rsidR="00044B66" w:rsidRPr="00AD5C11" w:rsidRDefault="00044B66" w:rsidP="00044B66">
      <w:pPr>
        <w:rPr>
          <w:rFonts w:ascii="Arial" w:eastAsia="Times New Roman" w:hAnsi="Arial" w:cs="Arial"/>
        </w:rPr>
      </w:pPr>
      <w:r w:rsidRPr="00AD5C11">
        <w:rPr>
          <w:rFonts w:ascii="Arial" w:eastAsia="Times New Roman" w:hAnsi="Arial" w:cs="Arial"/>
        </w:rPr>
        <w:t xml:space="preserve">The front page of this form should be completed by the specialist and the form sent to the patient’s general practitioner. </w:t>
      </w:r>
    </w:p>
    <w:p w14:paraId="0E4F6FA4" w14:textId="77777777" w:rsidR="00044B66" w:rsidRDefault="00044B66" w:rsidP="00044B66">
      <w:pPr>
        <w:rPr>
          <w:rFonts w:ascii="Arial" w:eastAsia="Times New Roman" w:hAnsi="Arial" w:cs="Arial"/>
        </w:rPr>
      </w:pPr>
    </w:p>
    <w:p w14:paraId="187AACCA" w14:textId="77777777" w:rsidR="00044B66" w:rsidRPr="008841A5" w:rsidRDefault="00044B66" w:rsidP="00044B66">
      <w:pPr>
        <w:rPr>
          <w:rFonts w:ascii="Arial" w:eastAsia="Times New Roman" w:hAnsi="Arial" w:cs="Arial"/>
          <w:b/>
        </w:rPr>
      </w:pPr>
      <w:r w:rsidRPr="00AD5C11">
        <w:rPr>
          <w:rFonts w:ascii="Arial" w:eastAsia="Times New Roman" w:hAnsi="Arial" w:cs="Arial"/>
        </w:rPr>
        <w:t xml:space="preserve">The patient’s GP should sign and </w:t>
      </w:r>
      <w:r w:rsidRPr="00AD5C11">
        <w:rPr>
          <w:rFonts w:ascii="Arial" w:eastAsia="Times New Roman" w:hAnsi="Arial" w:cs="Arial"/>
          <w:b/>
        </w:rPr>
        <w:t>send back to specialist</w:t>
      </w:r>
      <w:r w:rsidRPr="00AD5C11">
        <w:rPr>
          <w:rFonts w:ascii="Arial" w:eastAsia="Times New Roman" w:hAnsi="Arial" w:cs="Arial"/>
        </w:rPr>
        <w:t xml:space="preserve">, to confirm agreement to </w:t>
      </w:r>
      <w:proofErr w:type="gramStart"/>
      <w:r w:rsidRPr="00AD5C11">
        <w:rPr>
          <w:rFonts w:ascii="Arial" w:eastAsia="Times New Roman" w:hAnsi="Arial" w:cs="Arial"/>
        </w:rPr>
        <w:t>enter into</w:t>
      </w:r>
      <w:proofErr w:type="gramEnd"/>
      <w:r w:rsidRPr="00AD5C11">
        <w:rPr>
          <w:rFonts w:ascii="Arial" w:eastAsia="Times New Roman" w:hAnsi="Arial" w:cs="Arial"/>
        </w:rPr>
        <w:t xml:space="preserve"> shared care arrangement. If the General Practitioner is </w:t>
      </w:r>
      <w:r w:rsidRPr="00AD5C11">
        <w:rPr>
          <w:rFonts w:ascii="Arial" w:eastAsia="Times New Roman" w:hAnsi="Arial" w:cs="Arial"/>
          <w:b/>
          <w:bCs/>
          <w:u w:val="single"/>
        </w:rPr>
        <w:t>unwilling</w:t>
      </w:r>
      <w:r w:rsidRPr="00AD5C11">
        <w:rPr>
          <w:rFonts w:ascii="Arial" w:eastAsia="Times New Roman" w:hAnsi="Arial" w:cs="Arial"/>
        </w:rPr>
        <w:t xml:space="preserve"> to accept prescribing responsibility for the above patient the specialist should be informed within two weeks of receipt of this framework and specialist’s letter. </w:t>
      </w:r>
      <w:r w:rsidRPr="008841A5">
        <w:rPr>
          <w:rFonts w:ascii="Arial" w:eastAsia="Times New Roman" w:hAnsi="Arial" w:cs="Arial"/>
          <w:b/>
        </w:rPr>
        <w:br w:type="page"/>
      </w:r>
    </w:p>
    <w:p w14:paraId="35437C6D" w14:textId="77777777" w:rsidR="00044B66" w:rsidRDefault="00044B66" w:rsidP="00044B66">
      <w:pPr>
        <w:keepNext/>
        <w:outlineLvl w:val="1"/>
        <w:rPr>
          <w:rFonts w:ascii="Arial" w:eastAsia="Arial Unicode MS" w:hAnsi="Arial" w:cs="Arial"/>
          <w:b/>
        </w:rPr>
      </w:pPr>
    </w:p>
    <w:p w14:paraId="79094087" w14:textId="77777777" w:rsidR="00044B66" w:rsidRPr="008841A5" w:rsidRDefault="00044B66" w:rsidP="00241293">
      <w:pPr>
        <w:keepNext/>
        <w:numPr>
          <w:ilvl w:val="0"/>
          <w:numId w:val="3"/>
        </w:numPr>
        <w:outlineLvl w:val="1"/>
        <w:rPr>
          <w:rFonts w:ascii="Arial" w:eastAsia="Arial Unicode MS" w:hAnsi="Arial" w:cs="Arial"/>
          <w:b/>
        </w:rPr>
      </w:pPr>
      <w:r w:rsidRPr="008841A5">
        <w:rPr>
          <w:rFonts w:ascii="Arial" w:eastAsia="Arial Unicode MS" w:hAnsi="Arial" w:cs="Arial"/>
          <w:b/>
        </w:rPr>
        <w:t>Background</w:t>
      </w:r>
    </w:p>
    <w:p w14:paraId="72FD8090" w14:textId="77777777" w:rsidR="00044B66" w:rsidRPr="008841A5" w:rsidRDefault="00044B66" w:rsidP="00044B66">
      <w:pPr>
        <w:tabs>
          <w:tab w:val="left" w:pos="7833"/>
        </w:tabs>
        <w:autoSpaceDE w:val="0"/>
        <w:autoSpaceDN w:val="0"/>
        <w:adjustRightInd w:val="0"/>
        <w:rPr>
          <w:rFonts w:ascii="Arial" w:eastAsia="Times New Roman" w:hAnsi="Arial" w:cs="Arial"/>
          <w:color w:val="000000"/>
          <w:sz w:val="20"/>
          <w:szCs w:val="24"/>
        </w:rPr>
      </w:pPr>
      <w:r w:rsidRPr="008841A5">
        <w:rPr>
          <w:rFonts w:ascii="Arial" w:eastAsia="Times New Roman" w:hAnsi="Arial" w:cs="Arial"/>
          <w:color w:val="000000"/>
        </w:rPr>
        <w:t>Metastatic bone disease is a common complication of breast cancer.  Bisphosphonates act to reduce the osteoclast activity within bone and thus help prevent skeletal events.  Intravenous bisphosphonates have been the standard of care for patients with metastatic bone disease.  Ibandronate is a highly potent bisphosphonate, with an oral form</w:t>
      </w:r>
      <w:r>
        <w:rPr>
          <w:rFonts w:ascii="Arial" w:eastAsia="Times New Roman" w:hAnsi="Arial" w:cs="Arial"/>
          <w:color w:val="000000"/>
        </w:rPr>
        <w:t>ulation available allowing self-</w:t>
      </w:r>
      <w:r w:rsidRPr="008841A5">
        <w:rPr>
          <w:rFonts w:ascii="Arial" w:eastAsia="Times New Roman" w:hAnsi="Arial" w:cs="Arial"/>
          <w:color w:val="000000"/>
        </w:rPr>
        <w:t>administration at home</w:t>
      </w:r>
      <w:r w:rsidRPr="008841A5">
        <w:rPr>
          <w:rFonts w:ascii="Arial" w:eastAsia="Times New Roman" w:hAnsi="Arial" w:cs="Arial"/>
          <w:color w:val="000000"/>
          <w:sz w:val="20"/>
          <w:szCs w:val="24"/>
        </w:rPr>
        <w:t>.</w:t>
      </w:r>
    </w:p>
    <w:p w14:paraId="023A0888" w14:textId="77777777" w:rsidR="00044B66" w:rsidRPr="008841A5" w:rsidRDefault="00044B66" w:rsidP="00044B66">
      <w:pPr>
        <w:jc w:val="both"/>
        <w:rPr>
          <w:rFonts w:ascii="Arial" w:eastAsia="Times New Roman" w:hAnsi="Arial" w:cs="Arial"/>
        </w:rPr>
      </w:pPr>
    </w:p>
    <w:p w14:paraId="0765F265" w14:textId="77777777" w:rsidR="00044B66" w:rsidRPr="00AD5C11" w:rsidRDefault="00044B66" w:rsidP="00044B66">
      <w:pPr>
        <w:jc w:val="both"/>
        <w:rPr>
          <w:rFonts w:ascii="Arial" w:eastAsia="Times New Roman" w:hAnsi="Arial" w:cs="Arial"/>
          <w:bCs/>
        </w:rPr>
      </w:pPr>
      <w:r w:rsidRPr="008A374B">
        <w:rPr>
          <w:rFonts w:ascii="Arial" w:eastAsia="Times New Roman" w:hAnsi="Arial" w:cs="Arial"/>
        </w:rPr>
        <w:t>This document should be read in conjunction with the guidance “</w:t>
      </w:r>
      <w:r w:rsidRPr="008A374B">
        <w:rPr>
          <w:rFonts w:ascii="Arial" w:eastAsia="Times New Roman" w:hAnsi="Arial" w:cs="Arial"/>
          <w:bCs/>
        </w:rPr>
        <w:t xml:space="preserve">Responsibility for prescribing between Primary &amp; Secondary/Tertiary Care” </w:t>
      </w:r>
      <w:hyperlink r:id="rId10" w:history="1">
        <w:r w:rsidRPr="008A374B">
          <w:rPr>
            <w:rStyle w:val="Hyperlink"/>
            <w:rFonts w:ascii="Arial" w:eastAsia="Times New Roman" w:hAnsi="Arial" w:cs="Arial"/>
            <w:bCs/>
          </w:rPr>
          <w:t>https://www.england.nhs.uk/wp-content/uploads/2018/03/responsibility-prescribing-between-primary-secondary-care-v2.pdf</w:t>
        </w:r>
      </w:hyperlink>
    </w:p>
    <w:p w14:paraId="6D10CDE1" w14:textId="77777777" w:rsidR="00044B66" w:rsidRPr="008841A5" w:rsidRDefault="00044B66" w:rsidP="00044B66">
      <w:pPr>
        <w:jc w:val="both"/>
        <w:rPr>
          <w:rFonts w:ascii="Arial" w:eastAsia="Times New Roman" w:hAnsi="Arial" w:cs="Arial"/>
        </w:rPr>
      </w:pPr>
    </w:p>
    <w:p w14:paraId="38B7229F" w14:textId="77777777" w:rsidR="00044B66" w:rsidRPr="008841A5" w:rsidRDefault="00044B66" w:rsidP="00044B66">
      <w:pPr>
        <w:keepNext/>
        <w:jc w:val="both"/>
        <w:outlineLvl w:val="1"/>
        <w:rPr>
          <w:rFonts w:ascii="Arial" w:eastAsia="Arial Unicode MS" w:hAnsi="Arial" w:cs="Arial"/>
          <w:b/>
        </w:rPr>
      </w:pPr>
      <w:r w:rsidRPr="008841A5">
        <w:rPr>
          <w:rFonts w:ascii="Arial" w:eastAsia="Arial Unicode MS" w:hAnsi="Arial" w:cs="Arial"/>
          <w:b/>
        </w:rPr>
        <w:t>2.  Indication</w:t>
      </w:r>
    </w:p>
    <w:p w14:paraId="64B7FC0F" w14:textId="77777777" w:rsidR="00044B66" w:rsidRPr="008841A5" w:rsidRDefault="00044B66" w:rsidP="00044B66">
      <w:pPr>
        <w:autoSpaceDE w:val="0"/>
        <w:autoSpaceDN w:val="0"/>
        <w:adjustRightInd w:val="0"/>
        <w:rPr>
          <w:rFonts w:ascii="Arial" w:eastAsia="Times New Roman" w:hAnsi="Arial" w:cs="Arial"/>
          <w:color w:val="000000"/>
        </w:rPr>
      </w:pPr>
      <w:r w:rsidRPr="008841A5">
        <w:rPr>
          <w:rFonts w:ascii="Arial" w:eastAsia="Times New Roman" w:hAnsi="Arial" w:cs="Arial"/>
          <w:color w:val="000000"/>
        </w:rPr>
        <w:t>Ibandronate is indicated for the prevention of skeletal events in patients with breast cancer and bone metastases.</w:t>
      </w:r>
    </w:p>
    <w:p w14:paraId="014DC48A" w14:textId="77777777" w:rsidR="00044B66" w:rsidRPr="008841A5" w:rsidRDefault="00044B66" w:rsidP="00044B66">
      <w:pPr>
        <w:autoSpaceDE w:val="0"/>
        <w:autoSpaceDN w:val="0"/>
        <w:adjustRightInd w:val="0"/>
        <w:rPr>
          <w:rFonts w:ascii="Arial" w:eastAsia="Times New Roman" w:hAnsi="Arial" w:cs="Arial"/>
          <w:color w:val="000000"/>
        </w:rPr>
      </w:pPr>
    </w:p>
    <w:p w14:paraId="1F7983A1" w14:textId="77777777" w:rsidR="00044B66" w:rsidRPr="008841A5" w:rsidRDefault="00044B66" w:rsidP="00241293">
      <w:pPr>
        <w:numPr>
          <w:ilvl w:val="0"/>
          <w:numId w:val="4"/>
        </w:numPr>
        <w:jc w:val="both"/>
        <w:rPr>
          <w:rFonts w:ascii="Arial" w:eastAsia="Times New Roman" w:hAnsi="Arial" w:cs="Arial"/>
          <w:b/>
          <w:bCs/>
        </w:rPr>
      </w:pPr>
      <w:r w:rsidRPr="008841A5">
        <w:rPr>
          <w:rFonts w:ascii="Arial" w:eastAsia="Times New Roman" w:hAnsi="Arial" w:cs="Arial"/>
          <w:b/>
          <w:bCs/>
        </w:rPr>
        <w:t>Dose</w:t>
      </w:r>
    </w:p>
    <w:p w14:paraId="13BB7263" w14:textId="77777777" w:rsidR="00044B66" w:rsidRPr="008841A5" w:rsidRDefault="00044B66" w:rsidP="00044B66">
      <w:pPr>
        <w:autoSpaceDE w:val="0"/>
        <w:autoSpaceDN w:val="0"/>
        <w:adjustRightInd w:val="0"/>
        <w:rPr>
          <w:rFonts w:ascii="Arial" w:eastAsia="Times New Roman" w:hAnsi="Arial" w:cs="Arial"/>
          <w:b/>
          <w:bCs/>
          <w:color w:val="000000"/>
        </w:rPr>
      </w:pPr>
      <w:r w:rsidRPr="008841A5">
        <w:rPr>
          <w:rFonts w:ascii="Arial" w:eastAsia="Times New Roman" w:hAnsi="Arial" w:cs="Arial"/>
          <w:color w:val="000000"/>
        </w:rPr>
        <w:t xml:space="preserve">The recommended dose is one 50mg film-coated tablet daily.  </w:t>
      </w:r>
    </w:p>
    <w:p w14:paraId="191FF61A" w14:textId="77777777" w:rsidR="00044B66" w:rsidRPr="008841A5" w:rsidRDefault="00044B66" w:rsidP="00044B66">
      <w:pPr>
        <w:autoSpaceDE w:val="0"/>
        <w:autoSpaceDN w:val="0"/>
        <w:adjustRightInd w:val="0"/>
        <w:rPr>
          <w:rFonts w:ascii="Arial" w:eastAsia="Times New Roman" w:hAnsi="Arial" w:cs="Arial"/>
          <w:color w:val="000000"/>
        </w:rPr>
      </w:pPr>
      <w:r w:rsidRPr="008841A5">
        <w:rPr>
          <w:rFonts w:ascii="Arial" w:eastAsia="Times New Roman" w:hAnsi="Arial" w:cs="Arial"/>
          <w:color w:val="000000"/>
        </w:rPr>
        <w:t xml:space="preserve">Ibandronate tablets contain lactose and should not be administered to patients with lactose intolerance. </w:t>
      </w:r>
    </w:p>
    <w:p w14:paraId="7A311321" w14:textId="77777777" w:rsidR="00044B66" w:rsidRPr="008841A5" w:rsidRDefault="00044B66" w:rsidP="00044B66">
      <w:pPr>
        <w:autoSpaceDE w:val="0"/>
        <w:autoSpaceDN w:val="0"/>
        <w:adjustRightInd w:val="0"/>
        <w:rPr>
          <w:rFonts w:ascii="Arial" w:eastAsia="Times New Roman" w:hAnsi="Arial" w:cs="Arial"/>
          <w:color w:val="000000"/>
        </w:rPr>
      </w:pPr>
    </w:p>
    <w:p w14:paraId="47B7CCB7" w14:textId="77777777" w:rsidR="00044B66" w:rsidRPr="008841A5" w:rsidRDefault="00044B66" w:rsidP="00044B66">
      <w:pPr>
        <w:autoSpaceDE w:val="0"/>
        <w:autoSpaceDN w:val="0"/>
        <w:adjustRightInd w:val="0"/>
        <w:rPr>
          <w:rFonts w:ascii="Arial" w:eastAsia="Times New Roman" w:hAnsi="Arial" w:cs="Arial"/>
          <w:b/>
          <w:bCs/>
          <w:color w:val="000000"/>
        </w:rPr>
      </w:pPr>
      <w:r w:rsidRPr="008841A5">
        <w:rPr>
          <w:rFonts w:ascii="Arial" w:eastAsia="Times New Roman" w:hAnsi="Arial" w:cs="Arial"/>
          <w:b/>
          <w:bCs/>
          <w:color w:val="000000"/>
        </w:rPr>
        <w:t>Additional medication to be prescribed by the GP</w:t>
      </w:r>
    </w:p>
    <w:p w14:paraId="7135641D" w14:textId="77777777" w:rsidR="00044B66" w:rsidRDefault="00044B66" w:rsidP="00044B66">
      <w:pPr>
        <w:autoSpaceDE w:val="0"/>
        <w:autoSpaceDN w:val="0"/>
        <w:adjustRightInd w:val="0"/>
        <w:rPr>
          <w:rFonts w:ascii="Arial" w:eastAsia="Times New Roman" w:hAnsi="Arial" w:cs="Arial"/>
          <w:bCs/>
          <w:color w:val="000000"/>
        </w:rPr>
      </w:pPr>
      <w:r w:rsidRPr="008841A5">
        <w:rPr>
          <w:rFonts w:ascii="Arial" w:eastAsia="Times New Roman" w:hAnsi="Arial" w:cs="Arial"/>
          <w:bCs/>
          <w:color w:val="000000"/>
        </w:rPr>
        <w:t>Calcium and Vitamin D supplementation may be required and will be init</w:t>
      </w:r>
      <w:r>
        <w:rPr>
          <w:rFonts w:ascii="Arial" w:eastAsia="Times New Roman" w:hAnsi="Arial" w:cs="Arial"/>
          <w:bCs/>
          <w:color w:val="000000"/>
        </w:rPr>
        <w:t xml:space="preserve">iated by the consultant. </w:t>
      </w:r>
      <w:proofErr w:type="spellStart"/>
      <w:r>
        <w:rPr>
          <w:rFonts w:ascii="Arial" w:eastAsia="Times New Roman" w:hAnsi="Arial" w:cs="Arial"/>
          <w:bCs/>
          <w:color w:val="000000"/>
        </w:rPr>
        <w:t>Evacal</w:t>
      </w:r>
      <w:proofErr w:type="spellEnd"/>
      <w:r>
        <w:rPr>
          <w:rFonts w:ascii="Arial" w:eastAsia="Times New Roman" w:hAnsi="Arial" w:cs="Arial"/>
          <w:bCs/>
          <w:color w:val="000000"/>
        </w:rPr>
        <w:t xml:space="preserve"> or </w:t>
      </w:r>
      <w:proofErr w:type="spellStart"/>
      <w:proofErr w:type="gramStart"/>
      <w:r>
        <w:rPr>
          <w:rFonts w:ascii="Arial" w:eastAsia="Times New Roman" w:hAnsi="Arial" w:cs="Arial"/>
          <w:bCs/>
          <w:color w:val="000000"/>
        </w:rPr>
        <w:t>Calceos</w:t>
      </w:r>
      <w:proofErr w:type="spellEnd"/>
      <w:r w:rsidRPr="008841A5">
        <w:rPr>
          <w:rFonts w:ascii="Arial" w:eastAsia="Times New Roman" w:hAnsi="Arial" w:cs="Arial"/>
          <w:bCs/>
        </w:rPr>
        <w:t>(</w:t>
      </w:r>
      <w:proofErr w:type="gramEnd"/>
      <w:r w:rsidRPr="008841A5">
        <w:rPr>
          <w:rFonts w:ascii="Arial" w:eastAsia="Times New Roman" w:hAnsi="Arial" w:cs="Arial"/>
          <w:bCs/>
        </w:rPr>
        <w:t>or equivalent), One</w:t>
      </w:r>
      <w:r w:rsidRPr="008841A5">
        <w:rPr>
          <w:rFonts w:ascii="Arial" w:eastAsia="Times New Roman" w:hAnsi="Arial" w:cs="Arial"/>
          <w:bCs/>
          <w:color w:val="000000"/>
        </w:rPr>
        <w:t>, Twice Daily is recommended</w:t>
      </w:r>
    </w:p>
    <w:p w14:paraId="284EB25C" w14:textId="77777777" w:rsidR="00044B66" w:rsidRDefault="00044B66" w:rsidP="00044B66">
      <w:pPr>
        <w:autoSpaceDE w:val="0"/>
        <w:autoSpaceDN w:val="0"/>
        <w:adjustRightInd w:val="0"/>
        <w:rPr>
          <w:rFonts w:ascii="Arial" w:eastAsia="Times New Roman" w:hAnsi="Arial" w:cs="Arial"/>
          <w:bCs/>
          <w:color w:val="000000"/>
        </w:rPr>
      </w:pPr>
    </w:p>
    <w:p w14:paraId="6E1D36C8" w14:textId="77777777" w:rsidR="00044B66" w:rsidRPr="002C0A80" w:rsidRDefault="00044B66" w:rsidP="00044B66">
      <w:pPr>
        <w:autoSpaceDE w:val="0"/>
        <w:autoSpaceDN w:val="0"/>
        <w:adjustRightInd w:val="0"/>
        <w:rPr>
          <w:rFonts w:ascii="Arial" w:eastAsia="Times New Roman" w:hAnsi="Arial" w:cs="Arial"/>
          <w:i/>
          <w:color w:val="000000"/>
          <w:lang w:bidi="en-GB"/>
        </w:rPr>
      </w:pPr>
      <w:r w:rsidRPr="002C0A80">
        <w:rPr>
          <w:rFonts w:ascii="Arial" w:eastAsia="Times New Roman" w:hAnsi="Arial" w:cs="Arial"/>
          <w:i/>
          <w:color w:val="000000"/>
          <w:lang w:bidi="en-GB"/>
        </w:rPr>
        <w:t>Dose Adjustment</w:t>
      </w:r>
    </w:p>
    <w:p w14:paraId="71CB7BCF" w14:textId="77777777" w:rsidR="00044B66" w:rsidRPr="00195928" w:rsidRDefault="00044B66" w:rsidP="00241293">
      <w:pPr>
        <w:pStyle w:val="ListParagraph"/>
        <w:numPr>
          <w:ilvl w:val="0"/>
          <w:numId w:val="10"/>
        </w:numPr>
        <w:autoSpaceDE w:val="0"/>
        <w:autoSpaceDN w:val="0"/>
        <w:adjustRightInd w:val="0"/>
        <w:rPr>
          <w:rFonts w:ascii="Arial" w:eastAsia="Times New Roman" w:hAnsi="Arial" w:cs="Arial"/>
          <w:color w:val="000000"/>
          <w:lang w:bidi="en-GB"/>
        </w:rPr>
      </w:pPr>
      <w:r w:rsidRPr="00195928">
        <w:rPr>
          <w:rFonts w:ascii="Arial" w:eastAsia="Times New Roman" w:hAnsi="Arial" w:cs="Arial"/>
          <w:color w:val="000000"/>
          <w:lang w:bidi="en-GB"/>
        </w:rPr>
        <w:t>Elderly population (&gt; 65 years): No dose adjustment is necessary</w:t>
      </w:r>
      <w:r w:rsidRPr="00195928">
        <w:rPr>
          <w:rFonts w:ascii="Arial" w:eastAsia="Times New Roman" w:hAnsi="Arial" w:cs="Arial"/>
          <w:color w:val="000000"/>
          <w:vertAlign w:val="superscript"/>
          <w:lang w:bidi="en-GB"/>
        </w:rPr>
        <w:t>4</w:t>
      </w:r>
      <w:r w:rsidRPr="00195928">
        <w:rPr>
          <w:rFonts w:ascii="Arial" w:eastAsia="Times New Roman" w:hAnsi="Arial" w:cs="Arial"/>
          <w:color w:val="000000"/>
          <w:lang w:bidi="en-GB"/>
        </w:rPr>
        <w:t xml:space="preserve"> </w:t>
      </w:r>
    </w:p>
    <w:p w14:paraId="2659966F" w14:textId="77777777" w:rsidR="00044B66" w:rsidRDefault="00044B66" w:rsidP="00241293">
      <w:pPr>
        <w:numPr>
          <w:ilvl w:val="0"/>
          <w:numId w:val="8"/>
        </w:numPr>
        <w:autoSpaceDE w:val="0"/>
        <w:autoSpaceDN w:val="0"/>
        <w:adjustRightInd w:val="0"/>
        <w:rPr>
          <w:rFonts w:ascii="Arial" w:eastAsia="Times New Roman" w:hAnsi="Arial" w:cs="Arial"/>
          <w:color w:val="000000"/>
          <w:vertAlign w:val="superscript"/>
          <w:lang w:bidi="en-GB"/>
        </w:rPr>
      </w:pPr>
      <w:r w:rsidRPr="00195928">
        <w:rPr>
          <w:rFonts w:ascii="Arial" w:eastAsia="Times New Roman" w:hAnsi="Arial" w:cs="Arial"/>
          <w:color w:val="000000"/>
          <w:lang w:bidi="en-GB"/>
        </w:rPr>
        <w:t>Patients with hepatic impairment: No dose adjustment is required</w:t>
      </w:r>
      <w:r w:rsidRPr="00195928">
        <w:rPr>
          <w:rFonts w:ascii="Arial" w:eastAsia="Times New Roman" w:hAnsi="Arial" w:cs="Arial"/>
          <w:color w:val="000000"/>
          <w:vertAlign w:val="superscript"/>
          <w:lang w:bidi="en-GB"/>
        </w:rPr>
        <w:t xml:space="preserve">4 </w:t>
      </w:r>
    </w:p>
    <w:p w14:paraId="55ECD8E5" w14:textId="77777777" w:rsidR="00044B66" w:rsidRPr="00195928" w:rsidRDefault="00044B66" w:rsidP="00241293">
      <w:pPr>
        <w:numPr>
          <w:ilvl w:val="0"/>
          <w:numId w:val="8"/>
        </w:numPr>
        <w:autoSpaceDE w:val="0"/>
        <w:autoSpaceDN w:val="0"/>
        <w:adjustRightInd w:val="0"/>
        <w:rPr>
          <w:rFonts w:ascii="Arial" w:eastAsia="Times New Roman" w:hAnsi="Arial" w:cs="Arial"/>
          <w:color w:val="000000"/>
          <w:vertAlign w:val="superscript"/>
          <w:lang w:bidi="en-GB"/>
        </w:rPr>
      </w:pPr>
      <w:r w:rsidRPr="00195928">
        <w:rPr>
          <w:rFonts w:ascii="Arial" w:eastAsia="Times New Roman" w:hAnsi="Arial" w:cs="Arial"/>
          <w:color w:val="000000"/>
          <w:lang w:bidi="en-GB"/>
        </w:rPr>
        <w:t>Patients with renal impairment</w:t>
      </w:r>
      <w:r w:rsidRPr="00195928">
        <w:rPr>
          <w:rFonts w:ascii="Arial" w:eastAsia="Times New Roman" w:hAnsi="Arial" w:cs="Arial"/>
          <w:color w:val="000000"/>
          <w:vertAlign w:val="superscript"/>
          <w:lang w:bidi="en-GB"/>
        </w:rPr>
        <w:t>4</w:t>
      </w:r>
    </w:p>
    <w:p w14:paraId="7A49A859" w14:textId="77777777" w:rsidR="00044B66" w:rsidRPr="00BD0036" w:rsidRDefault="00044B66" w:rsidP="00044B66">
      <w:pPr>
        <w:autoSpaceDE w:val="0"/>
        <w:autoSpaceDN w:val="0"/>
        <w:adjustRightInd w:val="0"/>
        <w:rPr>
          <w:rFonts w:ascii="Arial" w:eastAsia="Times New Roman" w:hAnsi="Arial" w:cs="Arial"/>
          <w:color w:val="000000"/>
          <w:lang w:bidi="en-GB"/>
        </w:rPr>
      </w:pPr>
    </w:p>
    <w:p w14:paraId="76CC5265" w14:textId="77777777" w:rsidR="00044B66" w:rsidRPr="00BD0036" w:rsidRDefault="00044B66" w:rsidP="00241293">
      <w:pPr>
        <w:numPr>
          <w:ilvl w:val="0"/>
          <w:numId w:val="9"/>
        </w:numPr>
        <w:autoSpaceDE w:val="0"/>
        <w:autoSpaceDN w:val="0"/>
        <w:adjustRightInd w:val="0"/>
        <w:ind w:left="993" w:hanging="284"/>
        <w:rPr>
          <w:rFonts w:ascii="Arial" w:eastAsia="Times New Roman" w:hAnsi="Arial" w:cs="Arial"/>
          <w:color w:val="000000"/>
          <w:lang w:bidi="en-GB"/>
        </w:rPr>
      </w:pPr>
      <w:r w:rsidRPr="00BD0036">
        <w:rPr>
          <w:rFonts w:ascii="Arial" w:eastAsia="Times New Roman" w:hAnsi="Arial" w:cs="Arial"/>
          <w:color w:val="000000"/>
          <w:lang w:bidi="en-GB"/>
        </w:rPr>
        <w:t>For patients with mild renal impairment (</w:t>
      </w:r>
      <w:r>
        <w:rPr>
          <w:rFonts w:ascii="Arial" w:eastAsia="Times New Roman" w:hAnsi="Arial" w:cs="Arial"/>
          <w:color w:val="000000"/>
          <w:lang w:bidi="en-GB"/>
        </w:rPr>
        <w:t>eGFR/</w:t>
      </w:r>
      <w:proofErr w:type="spellStart"/>
      <w:r w:rsidRPr="00BD0036">
        <w:rPr>
          <w:rFonts w:ascii="Arial" w:eastAsia="Times New Roman" w:hAnsi="Arial" w:cs="Arial"/>
          <w:color w:val="000000"/>
          <w:lang w:bidi="en-GB"/>
        </w:rPr>
        <w:t>CrCl</w:t>
      </w:r>
      <w:proofErr w:type="spellEnd"/>
      <w:r w:rsidRPr="00BD0036">
        <w:rPr>
          <w:rFonts w:ascii="Arial" w:eastAsia="Times New Roman" w:hAnsi="Arial" w:cs="Arial"/>
          <w:color w:val="000000"/>
          <w:lang w:bidi="en-GB"/>
        </w:rPr>
        <w:t xml:space="preserve"> ≥ 50 and &lt; 80 mL/min), no dose adjustment is necessary</w:t>
      </w:r>
    </w:p>
    <w:p w14:paraId="1781D478" w14:textId="77777777" w:rsidR="00044B66" w:rsidRPr="00BD0036" w:rsidRDefault="00044B66" w:rsidP="00241293">
      <w:pPr>
        <w:numPr>
          <w:ilvl w:val="0"/>
          <w:numId w:val="9"/>
        </w:numPr>
        <w:autoSpaceDE w:val="0"/>
        <w:autoSpaceDN w:val="0"/>
        <w:adjustRightInd w:val="0"/>
        <w:ind w:left="993" w:hanging="284"/>
        <w:rPr>
          <w:rFonts w:ascii="Arial" w:eastAsia="Times New Roman" w:hAnsi="Arial" w:cs="Arial"/>
          <w:color w:val="000000"/>
          <w:lang w:bidi="en-GB"/>
        </w:rPr>
      </w:pPr>
      <w:r w:rsidRPr="00BD0036">
        <w:rPr>
          <w:rFonts w:ascii="Arial" w:eastAsia="Times New Roman" w:hAnsi="Arial" w:cs="Arial"/>
          <w:color w:val="000000"/>
          <w:lang w:bidi="en-GB"/>
        </w:rPr>
        <w:t>For patients with moderate renal impairment (</w:t>
      </w:r>
      <w:r>
        <w:rPr>
          <w:rFonts w:ascii="Arial" w:eastAsia="Times New Roman" w:hAnsi="Arial" w:cs="Arial"/>
          <w:color w:val="000000"/>
          <w:lang w:bidi="en-GB"/>
        </w:rPr>
        <w:t>eGFR/</w:t>
      </w:r>
      <w:proofErr w:type="spellStart"/>
      <w:r w:rsidRPr="00BD0036">
        <w:rPr>
          <w:rFonts w:ascii="Arial" w:eastAsia="Times New Roman" w:hAnsi="Arial" w:cs="Arial"/>
          <w:color w:val="000000"/>
          <w:lang w:bidi="en-GB"/>
        </w:rPr>
        <w:t>CrCl</w:t>
      </w:r>
      <w:proofErr w:type="spellEnd"/>
      <w:r w:rsidRPr="00BD0036">
        <w:rPr>
          <w:rFonts w:ascii="Arial" w:eastAsia="Times New Roman" w:hAnsi="Arial" w:cs="Arial"/>
          <w:color w:val="000000"/>
          <w:lang w:bidi="en-GB"/>
        </w:rPr>
        <w:t xml:space="preserve"> ≥ 30 and &lt; 50 mL/min) a dose adjustment to one 50mg tablet every second day is recommended</w:t>
      </w:r>
    </w:p>
    <w:p w14:paraId="6AC0C919" w14:textId="77777777" w:rsidR="00044B66" w:rsidRDefault="00044B66" w:rsidP="00044B66">
      <w:pPr>
        <w:autoSpaceDE w:val="0"/>
        <w:autoSpaceDN w:val="0"/>
        <w:adjustRightInd w:val="0"/>
        <w:rPr>
          <w:rFonts w:ascii="Arial" w:eastAsia="Times New Roman" w:hAnsi="Arial" w:cs="Arial"/>
          <w:bCs/>
          <w:color w:val="000000"/>
        </w:rPr>
      </w:pPr>
    </w:p>
    <w:p w14:paraId="00EFA531" w14:textId="77777777" w:rsidR="00044B66" w:rsidRPr="00BD0036" w:rsidRDefault="00044B66" w:rsidP="00044B66">
      <w:pPr>
        <w:autoSpaceDE w:val="0"/>
        <w:autoSpaceDN w:val="0"/>
        <w:adjustRightInd w:val="0"/>
        <w:rPr>
          <w:rFonts w:ascii="Arial" w:eastAsia="Times New Roman" w:hAnsi="Arial" w:cs="Arial"/>
          <w:color w:val="000000"/>
          <w:lang w:bidi="en-GB"/>
        </w:rPr>
      </w:pPr>
      <w:r w:rsidRPr="00BD0036">
        <w:rPr>
          <w:rFonts w:ascii="Arial" w:eastAsia="Times New Roman" w:hAnsi="Arial" w:cs="Arial"/>
          <w:b/>
          <w:color w:val="000000"/>
          <w:u w:val="single"/>
          <w:lang w:bidi="en-GB"/>
        </w:rPr>
        <w:t>NOTE:</w:t>
      </w:r>
      <w:r w:rsidRPr="00BD0036">
        <w:rPr>
          <w:rFonts w:ascii="Arial" w:eastAsia="Times New Roman" w:hAnsi="Arial" w:cs="Arial"/>
          <w:color w:val="000000"/>
          <w:lang w:bidi="en-GB"/>
        </w:rPr>
        <w:t xml:space="preserve"> Many laboratory results are expressed as eGFR. While it is likely that in many cases the eGFR and the </w:t>
      </w:r>
      <w:proofErr w:type="spellStart"/>
      <w:r w:rsidRPr="00BD0036">
        <w:rPr>
          <w:rFonts w:ascii="Arial" w:eastAsia="Times New Roman" w:hAnsi="Arial" w:cs="Arial"/>
          <w:color w:val="000000"/>
          <w:lang w:bidi="en-GB"/>
        </w:rPr>
        <w:t>CrCl</w:t>
      </w:r>
      <w:proofErr w:type="spellEnd"/>
      <w:r w:rsidRPr="00BD0036">
        <w:rPr>
          <w:rFonts w:ascii="Arial" w:eastAsia="Times New Roman" w:hAnsi="Arial" w:cs="Arial"/>
          <w:color w:val="000000"/>
          <w:lang w:bidi="en-GB"/>
        </w:rPr>
        <w:t xml:space="preserve"> will be very similar, beware </w:t>
      </w:r>
      <w:proofErr w:type="gramStart"/>
      <w:r w:rsidRPr="00BD0036">
        <w:rPr>
          <w:rFonts w:ascii="Arial" w:eastAsia="Times New Roman" w:hAnsi="Arial" w:cs="Arial"/>
          <w:color w:val="000000"/>
          <w:lang w:bidi="en-GB"/>
        </w:rPr>
        <w:t>that differences</w:t>
      </w:r>
      <w:proofErr w:type="gramEnd"/>
      <w:r w:rsidRPr="00BD0036">
        <w:rPr>
          <w:rFonts w:ascii="Arial" w:eastAsia="Times New Roman" w:hAnsi="Arial" w:cs="Arial"/>
          <w:color w:val="000000"/>
          <w:lang w:bidi="en-GB"/>
        </w:rPr>
        <w:t xml:space="preserve"> could occur in people at extremes of body size.</w:t>
      </w:r>
    </w:p>
    <w:p w14:paraId="04A10BDE" w14:textId="77777777" w:rsidR="00044B66" w:rsidRPr="008841A5" w:rsidRDefault="00044B66" w:rsidP="00044B66">
      <w:pPr>
        <w:autoSpaceDE w:val="0"/>
        <w:autoSpaceDN w:val="0"/>
        <w:adjustRightInd w:val="0"/>
        <w:rPr>
          <w:rFonts w:ascii="Arial" w:eastAsia="Times New Roman" w:hAnsi="Arial" w:cs="Arial"/>
          <w:bCs/>
          <w:color w:val="000000"/>
        </w:rPr>
      </w:pPr>
    </w:p>
    <w:p w14:paraId="3150E691" w14:textId="77777777" w:rsidR="00044B66" w:rsidRPr="008841A5" w:rsidRDefault="00044B66" w:rsidP="00044B66">
      <w:pPr>
        <w:autoSpaceDE w:val="0"/>
        <w:autoSpaceDN w:val="0"/>
        <w:adjustRightInd w:val="0"/>
        <w:rPr>
          <w:rFonts w:ascii="Arial" w:eastAsia="Times New Roman" w:hAnsi="Arial" w:cs="Arial"/>
          <w:color w:val="000000"/>
        </w:rPr>
      </w:pPr>
    </w:p>
    <w:p w14:paraId="07AA2061" w14:textId="77777777" w:rsidR="00044B66" w:rsidRPr="008841A5" w:rsidRDefault="00044B66" w:rsidP="00241293">
      <w:pPr>
        <w:keepNext/>
        <w:numPr>
          <w:ilvl w:val="0"/>
          <w:numId w:val="4"/>
        </w:numPr>
        <w:jc w:val="both"/>
        <w:outlineLvl w:val="1"/>
        <w:rPr>
          <w:rFonts w:ascii="Arial" w:eastAsia="Arial Unicode MS" w:hAnsi="Arial" w:cs="Arial"/>
          <w:b/>
        </w:rPr>
      </w:pPr>
      <w:r w:rsidRPr="008841A5">
        <w:rPr>
          <w:rFonts w:ascii="Arial" w:eastAsia="Arial Unicode MS" w:hAnsi="Arial" w:cs="Arial"/>
          <w:b/>
        </w:rPr>
        <w:t>Duration of treatment</w:t>
      </w:r>
    </w:p>
    <w:p w14:paraId="24A8D94F" w14:textId="77777777" w:rsidR="00044B66" w:rsidRPr="008841A5" w:rsidRDefault="00044B66" w:rsidP="00044B66">
      <w:pPr>
        <w:rPr>
          <w:rFonts w:ascii="Arial" w:eastAsia="Times New Roman" w:hAnsi="Arial" w:cs="Arial"/>
        </w:rPr>
      </w:pPr>
      <w:r w:rsidRPr="008841A5">
        <w:rPr>
          <w:rFonts w:ascii="Arial" w:eastAsia="Times New Roman" w:hAnsi="Arial" w:cs="Arial"/>
        </w:rPr>
        <w:t>Until disease progression or unacceptable toxicity</w:t>
      </w:r>
    </w:p>
    <w:p w14:paraId="7CA56009" w14:textId="77777777" w:rsidR="00044B66" w:rsidRPr="008841A5" w:rsidRDefault="00044B66" w:rsidP="00044B66">
      <w:pPr>
        <w:rPr>
          <w:rFonts w:ascii="Arial" w:eastAsia="Times New Roman" w:hAnsi="Arial" w:cs="Arial"/>
        </w:rPr>
      </w:pPr>
    </w:p>
    <w:p w14:paraId="6F622188" w14:textId="77777777" w:rsidR="00044B66" w:rsidRPr="008841A5" w:rsidRDefault="00044B66" w:rsidP="00241293">
      <w:pPr>
        <w:numPr>
          <w:ilvl w:val="0"/>
          <w:numId w:val="5"/>
        </w:numPr>
        <w:jc w:val="both"/>
        <w:rPr>
          <w:rFonts w:ascii="Arial" w:eastAsia="Times New Roman" w:hAnsi="Arial" w:cs="Arial"/>
          <w:b/>
          <w:bCs/>
        </w:rPr>
      </w:pPr>
      <w:r w:rsidRPr="008841A5">
        <w:rPr>
          <w:rFonts w:ascii="Arial" w:eastAsia="Times New Roman" w:hAnsi="Arial" w:cs="Arial"/>
          <w:b/>
          <w:bCs/>
        </w:rPr>
        <w:t>Adverse effects</w:t>
      </w:r>
    </w:p>
    <w:p w14:paraId="22AD41FD" w14:textId="77777777" w:rsidR="00044B66" w:rsidRPr="008841A5" w:rsidRDefault="00044B66" w:rsidP="00044B66">
      <w:pPr>
        <w:autoSpaceDE w:val="0"/>
        <w:autoSpaceDN w:val="0"/>
        <w:adjustRightInd w:val="0"/>
        <w:rPr>
          <w:rFonts w:ascii="Arial" w:eastAsia="Times New Roman" w:hAnsi="Arial" w:cs="Arial"/>
          <w:color w:val="000000"/>
        </w:rPr>
      </w:pPr>
      <w:r w:rsidRPr="008841A5">
        <w:rPr>
          <w:rFonts w:ascii="Arial" w:eastAsia="Times New Roman" w:hAnsi="Arial" w:cs="Arial"/>
          <w:color w:val="000000"/>
        </w:rPr>
        <w:t xml:space="preserve">Oral bisphosphonates have been associated with: </w:t>
      </w:r>
    </w:p>
    <w:p w14:paraId="6BC949D2" w14:textId="77777777" w:rsidR="00044B66" w:rsidRPr="008841A5" w:rsidRDefault="00044B66" w:rsidP="00241293">
      <w:pPr>
        <w:numPr>
          <w:ilvl w:val="0"/>
          <w:numId w:val="7"/>
        </w:numPr>
        <w:autoSpaceDE w:val="0"/>
        <w:autoSpaceDN w:val="0"/>
        <w:adjustRightInd w:val="0"/>
        <w:rPr>
          <w:rFonts w:ascii="Arial" w:eastAsia="Times New Roman" w:hAnsi="Arial" w:cs="Arial"/>
          <w:color w:val="000000"/>
        </w:rPr>
      </w:pPr>
      <w:r w:rsidRPr="008841A5">
        <w:rPr>
          <w:rFonts w:ascii="Arial" w:eastAsia="Times New Roman" w:hAnsi="Arial" w:cs="Arial"/>
          <w:color w:val="000000"/>
        </w:rPr>
        <w:t>Dysphagia</w:t>
      </w:r>
    </w:p>
    <w:p w14:paraId="2421DEFF" w14:textId="77777777" w:rsidR="00044B66" w:rsidRPr="008841A5" w:rsidRDefault="00044B66" w:rsidP="00241293">
      <w:pPr>
        <w:numPr>
          <w:ilvl w:val="0"/>
          <w:numId w:val="7"/>
        </w:numPr>
        <w:autoSpaceDE w:val="0"/>
        <w:autoSpaceDN w:val="0"/>
        <w:adjustRightInd w:val="0"/>
        <w:rPr>
          <w:rFonts w:ascii="Arial" w:eastAsia="Times New Roman" w:hAnsi="Arial" w:cs="Arial"/>
          <w:color w:val="000000"/>
        </w:rPr>
      </w:pPr>
      <w:proofErr w:type="spellStart"/>
      <w:r w:rsidRPr="008841A5">
        <w:rPr>
          <w:rFonts w:ascii="Arial" w:eastAsia="Times New Roman" w:hAnsi="Arial" w:cs="Arial"/>
          <w:color w:val="000000"/>
        </w:rPr>
        <w:t>Oesophagitis</w:t>
      </w:r>
      <w:proofErr w:type="spellEnd"/>
    </w:p>
    <w:p w14:paraId="4274B115" w14:textId="77777777" w:rsidR="00044B66" w:rsidRPr="008841A5" w:rsidRDefault="00044B66" w:rsidP="00241293">
      <w:pPr>
        <w:numPr>
          <w:ilvl w:val="0"/>
          <w:numId w:val="7"/>
        </w:numPr>
        <w:autoSpaceDE w:val="0"/>
        <w:autoSpaceDN w:val="0"/>
        <w:adjustRightInd w:val="0"/>
        <w:rPr>
          <w:rFonts w:ascii="Arial" w:eastAsia="Times New Roman" w:hAnsi="Arial" w:cs="Arial"/>
          <w:color w:val="000000"/>
        </w:rPr>
      </w:pPr>
      <w:proofErr w:type="spellStart"/>
      <w:r w:rsidRPr="008841A5">
        <w:rPr>
          <w:rFonts w:ascii="Arial" w:eastAsia="Times New Roman" w:hAnsi="Arial" w:cs="Arial"/>
          <w:color w:val="000000"/>
        </w:rPr>
        <w:t>Oesophageal</w:t>
      </w:r>
      <w:proofErr w:type="spellEnd"/>
      <w:r w:rsidRPr="008841A5">
        <w:rPr>
          <w:rFonts w:ascii="Arial" w:eastAsia="Times New Roman" w:hAnsi="Arial" w:cs="Arial"/>
          <w:color w:val="000000"/>
        </w:rPr>
        <w:t xml:space="preserve"> or gastric ulcers.</w:t>
      </w:r>
    </w:p>
    <w:p w14:paraId="11BA414F" w14:textId="77777777" w:rsidR="00044B66" w:rsidRDefault="00044B66" w:rsidP="00044B66">
      <w:pPr>
        <w:jc w:val="both"/>
        <w:rPr>
          <w:rFonts w:ascii="Arial" w:eastAsia="Times New Roman" w:hAnsi="Arial" w:cs="Arial"/>
        </w:rPr>
      </w:pPr>
    </w:p>
    <w:p w14:paraId="31681C89" w14:textId="77777777" w:rsidR="00044B66" w:rsidRPr="00B44CEF" w:rsidRDefault="00044B66" w:rsidP="00044B66">
      <w:pPr>
        <w:jc w:val="both"/>
        <w:rPr>
          <w:rFonts w:ascii="Arial" w:eastAsia="Times New Roman" w:hAnsi="Arial" w:cs="Arial"/>
          <w:bCs/>
          <w:i/>
          <w:lang w:bidi="en-GB"/>
        </w:rPr>
      </w:pPr>
      <w:r w:rsidRPr="00B44CEF">
        <w:rPr>
          <w:rFonts w:ascii="Arial" w:eastAsia="Times New Roman" w:hAnsi="Arial" w:cs="Arial"/>
          <w:bCs/>
          <w:i/>
          <w:lang w:bidi="en-GB"/>
        </w:rPr>
        <w:t>Osteonecrosis of the jaw (MHRA warning):</w:t>
      </w:r>
    </w:p>
    <w:p w14:paraId="021B8D63" w14:textId="77777777" w:rsidR="00044B66" w:rsidRPr="00836EF3" w:rsidRDefault="00044B66" w:rsidP="00241293">
      <w:pPr>
        <w:numPr>
          <w:ilvl w:val="0"/>
          <w:numId w:val="11"/>
        </w:numPr>
        <w:jc w:val="both"/>
        <w:rPr>
          <w:rFonts w:ascii="Arial" w:eastAsia="Times New Roman" w:hAnsi="Arial" w:cs="Arial"/>
          <w:lang w:bidi="en-GB"/>
        </w:rPr>
      </w:pPr>
      <w:r w:rsidRPr="00836EF3">
        <w:rPr>
          <w:rFonts w:ascii="Arial" w:eastAsia="Times New Roman" w:hAnsi="Arial" w:cs="Arial"/>
          <w:lang w:bidi="en-GB"/>
        </w:rPr>
        <w:t>Patients should be advised to have a dental examination with appropriate preventative dentistry prior to treatment with bisphosphonates.</w:t>
      </w:r>
    </w:p>
    <w:p w14:paraId="760BCBBB" w14:textId="77777777" w:rsidR="00044B66" w:rsidRPr="00836EF3" w:rsidRDefault="00044B66" w:rsidP="00241293">
      <w:pPr>
        <w:numPr>
          <w:ilvl w:val="0"/>
          <w:numId w:val="11"/>
        </w:numPr>
        <w:jc w:val="both"/>
        <w:rPr>
          <w:rFonts w:ascii="Arial" w:eastAsia="Times New Roman" w:hAnsi="Arial" w:cs="Arial"/>
          <w:lang w:bidi="en-GB"/>
        </w:rPr>
      </w:pPr>
      <w:r w:rsidRPr="00836EF3">
        <w:rPr>
          <w:rFonts w:ascii="Arial" w:eastAsia="Times New Roman" w:hAnsi="Arial" w:cs="Arial"/>
          <w:lang w:bidi="en-GB"/>
        </w:rPr>
        <w:lastRenderedPageBreak/>
        <w:t>During bisphosphonate treatment, patients should maintain good oral hygiene, receive routine dental check-ups, and report any oral symptoms such as dental mobility, pain, or swelling.</w:t>
      </w:r>
    </w:p>
    <w:p w14:paraId="3D93AAB0" w14:textId="77777777" w:rsidR="00044B66" w:rsidRPr="00836EF3" w:rsidRDefault="00044B66" w:rsidP="00044B66">
      <w:pPr>
        <w:jc w:val="both"/>
        <w:rPr>
          <w:rFonts w:ascii="Arial" w:eastAsia="Times New Roman" w:hAnsi="Arial" w:cs="Arial"/>
          <w:lang w:bidi="en-GB"/>
        </w:rPr>
      </w:pPr>
    </w:p>
    <w:p w14:paraId="6508061D" w14:textId="77777777" w:rsidR="00044B66" w:rsidRPr="00B44CEF" w:rsidRDefault="00044B66" w:rsidP="00044B66">
      <w:pPr>
        <w:jc w:val="both"/>
        <w:rPr>
          <w:rFonts w:ascii="Arial" w:eastAsia="Times New Roman" w:hAnsi="Arial" w:cs="Arial"/>
          <w:bCs/>
          <w:i/>
          <w:lang w:bidi="en-GB"/>
        </w:rPr>
      </w:pPr>
      <w:r w:rsidRPr="00B44CEF">
        <w:rPr>
          <w:rFonts w:ascii="Arial" w:eastAsia="Times New Roman" w:hAnsi="Arial" w:cs="Arial"/>
          <w:bCs/>
          <w:i/>
          <w:lang w:bidi="en-GB"/>
        </w:rPr>
        <w:t>Atypical femoral fractures (MHRA warning):</w:t>
      </w:r>
    </w:p>
    <w:p w14:paraId="7FDF811D" w14:textId="77777777" w:rsidR="00044B66" w:rsidRPr="00836EF3" w:rsidRDefault="00044B66" w:rsidP="00241293">
      <w:pPr>
        <w:numPr>
          <w:ilvl w:val="0"/>
          <w:numId w:val="12"/>
        </w:numPr>
        <w:jc w:val="both"/>
        <w:rPr>
          <w:rFonts w:ascii="Arial" w:eastAsia="Times New Roman" w:hAnsi="Arial" w:cs="Arial"/>
          <w:lang w:bidi="en-GB"/>
        </w:rPr>
      </w:pPr>
      <w:r w:rsidRPr="00836EF3">
        <w:rPr>
          <w:rFonts w:ascii="Arial" w:eastAsia="Times New Roman" w:hAnsi="Arial" w:cs="Arial"/>
          <w:lang w:bidi="en-GB"/>
        </w:rPr>
        <w:t>During bisphosphonate treatment, patients should be advised to report any thigh, hip, or groin pain.</w:t>
      </w:r>
    </w:p>
    <w:p w14:paraId="3C693C08" w14:textId="77777777" w:rsidR="00044B66" w:rsidRPr="00836EF3" w:rsidRDefault="00044B66" w:rsidP="00241293">
      <w:pPr>
        <w:numPr>
          <w:ilvl w:val="0"/>
          <w:numId w:val="12"/>
        </w:numPr>
        <w:jc w:val="both"/>
        <w:rPr>
          <w:rFonts w:ascii="Arial" w:eastAsia="Times New Roman" w:hAnsi="Arial" w:cs="Arial"/>
          <w:lang w:bidi="en-GB"/>
        </w:rPr>
      </w:pPr>
      <w:r w:rsidRPr="00836EF3">
        <w:rPr>
          <w:rFonts w:ascii="Arial" w:eastAsia="Times New Roman" w:hAnsi="Arial" w:cs="Arial"/>
          <w:lang w:bidi="en-GB"/>
        </w:rPr>
        <w:t>Any patient who presents with such symptoms should be evaluated for an incomplete femur fracture.</w:t>
      </w:r>
    </w:p>
    <w:p w14:paraId="2C30DA8C" w14:textId="77777777" w:rsidR="00044B66" w:rsidRPr="00836EF3" w:rsidRDefault="00044B66" w:rsidP="00044B66">
      <w:pPr>
        <w:jc w:val="both"/>
        <w:rPr>
          <w:rFonts w:ascii="Arial" w:eastAsia="Times New Roman" w:hAnsi="Arial" w:cs="Arial"/>
          <w:lang w:bidi="en-GB"/>
        </w:rPr>
      </w:pPr>
    </w:p>
    <w:p w14:paraId="693CE5F4" w14:textId="77777777" w:rsidR="00044B66" w:rsidRPr="00B44CEF" w:rsidRDefault="00044B66" w:rsidP="00044B66">
      <w:pPr>
        <w:jc w:val="both"/>
        <w:rPr>
          <w:rFonts w:ascii="Arial" w:eastAsia="Times New Roman" w:hAnsi="Arial" w:cs="Arial"/>
          <w:bCs/>
          <w:i/>
          <w:lang w:bidi="en-GB"/>
        </w:rPr>
      </w:pPr>
      <w:proofErr w:type="spellStart"/>
      <w:r w:rsidRPr="00B44CEF">
        <w:rPr>
          <w:rFonts w:ascii="Arial" w:eastAsia="Times New Roman" w:hAnsi="Arial" w:cs="Arial"/>
          <w:bCs/>
          <w:i/>
          <w:lang w:bidi="en-GB"/>
        </w:rPr>
        <w:t>Oesophageal</w:t>
      </w:r>
      <w:proofErr w:type="spellEnd"/>
      <w:r w:rsidRPr="00B44CEF">
        <w:rPr>
          <w:rFonts w:ascii="Arial" w:eastAsia="Times New Roman" w:hAnsi="Arial" w:cs="Arial"/>
          <w:bCs/>
          <w:i/>
          <w:lang w:bidi="en-GB"/>
        </w:rPr>
        <w:t xml:space="preserve"> reactions (MHRA warning):</w:t>
      </w:r>
    </w:p>
    <w:p w14:paraId="604EAB37" w14:textId="77777777" w:rsidR="00044B66" w:rsidRPr="00836EF3" w:rsidRDefault="00044B66" w:rsidP="00241293">
      <w:pPr>
        <w:numPr>
          <w:ilvl w:val="0"/>
          <w:numId w:val="13"/>
        </w:numPr>
        <w:ind w:left="709" w:hanging="283"/>
        <w:jc w:val="both"/>
        <w:rPr>
          <w:rFonts w:ascii="Arial" w:eastAsia="Times New Roman" w:hAnsi="Arial" w:cs="Arial"/>
          <w:lang w:bidi="en-GB"/>
        </w:rPr>
      </w:pPr>
      <w:r w:rsidRPr="00836EF3">
        <w:rPr>
          <w:rFonts w:ascii="Arial" w:eastAsia="Times New Roman" w:hAnsi="Arial" w:cs="Arial"/>
          <w:lang w:bidi="en-GB"/>
        </w:rPr>
        <w:t xml:space="preserve">Patients should be advised to stop taking the tablets and to seek medical attention if they develop any symptoms of </w:t>
      </w:r>
      <w:proofErr w:type="spellStart"/>
      <w:r w:rsidRPr="00836EF3">
        <w:rPr>
          <w:rFonts w:ascii="Arial" w:eastAsia="Times New Roman" w:hAnsi="Arial" w:cs="Arial"/>
          <w:lang w:bidi="en-GB"/>
        </w:rPr>
        <w:t>oesophageal</w:t>
      </w:r>
      <w:proofErr w:type="spellEnd"/>
      <w:r w:rsidRPr="00836EF3">
        <w:rPr>
          <w:rFonts w:ascii="Arial" w:eastAsia="Times New Roman" w:hAnsi="Arial" w:cs="Arial"/>
          <w:lang w:bidi="en-GB"/>
        </w:rPr>
        <w:t xml:space="preserve"> irritation such as difficulty or pain upon swallowing, chest pain, or new or worsening heartburn.</w:t>
      </w:r>
    </w:p>
    <w:p w14:paraId="450B3432" w14:textId="77777777" w:rsidR="00044B66" w:rsidRPr="00836EF3" w:rsidRDefault="00044B66" w:rsidP="00241293">
      <w:pPr>
        <w:numPr>
          <w:ilvl w:val="0"/>
          <w:numId w:val="13"/>
        </w:numPr>
        <w:ind w:left="709" w:hanging="283"/>
        <w:jc w:val="both"/>
        <w:rPr>
          <w:rFonts w:ascii="Arial" w:eastAsia="Times New Roman" w:hAnsi="Arial" w:cs="Arial"/>
          <w:lang w:bidi="en-GB"/>
        </w:rPr>
      </w:pPr>
      <w:r w:rsidRPr="00836EF3">
        <w:rPr>
          <w:rFonts w:ascii="Arial" w:eastAsia="Times New Roman" w:hAnsi="Arial" w:cs="Arial"/>
          <w:lang w:bidi="en-GB"/>
        </w:rPr>
        <w:t>See above regarding importance of dosing instructions.</w:t>
      </w:r>
    </w:p>
    <w:p w14:paraId="59DE4C7C" w14:textId="77777777" w:rsidR="00044B66" w:rsidRPr="00836EF3" w:rsidRDefault="00044B66" w:rsidP="00044B66">
      <w:pPr>
        <w:jc w:val="both"/>
        <w:rPr>
          <w:rFonts w:ascii="Arial" w:eastAsia="Times New Roman" w:hAnsi="Arial" w:cs="Arial"/>
          <w:lang w:bidi="en-GB"/>
        </w:rPr>
      </w:pPr>
    </w:p>
    <w:p w14:paraId="40292795" w14:textId="77777777" w:rsidR="00044B66" w:rsidRPr="00B44CEF" w:rsidRDefault="00044B66" w:rsidP="00044B66">
      <w:pPr>
        <w:jc w:val="both"/>
        <w:rPr>
          <w:rFonts w:ascii="Arial" w:eastAsia="Times New Roman" w:hAnsi="Arial" w:cs="Arial"/>
          <w:bCs/>
          <w:i/>
          <w:lang w:bidi="en-GB"/>
        </w:rPr>
      </w:pPr>
      <w:r w:rsidRPr="00B44CEF">
        <w:rPr>
          <w:rFonts w:ascii="Arial" w:eastAsia="Times New Roman" w:hAnsi="Arial" w:cs="Arial"/>
          <w:bCs/>
          <w:i/>
          <w:lang w:bidi="en-GB"/>
        </w:rPr>
        <w:t>Very rare reports of osteonecrosis of the external auditory canal (MHRA warning):</w:t>
      </w:r>
    </w:p>
    <w:p w14:paraId="05E0669C"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Patients should be advised to report any ear pain, discharge from the ear or an ear infection during bisphosphonate treatment.</w:t>
      </w:r>
    </w:p>
    <w:p w14:paraId="0CCD1C3B"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Review current medicines:</w:t>
      </w:r>
    </w:p>
    <w:p w14:paraId="33C0C7B2"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Advise patient to stop any other bisphosphonate that they may be taking; for example: risedronate or alendronate.</w:t>
      </w:r>
    </w:p>
    <w:p w14:paraId="05B9BD5A"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For patients taking a regular NSAID consider whether this can be discontinued.</w:t>
      </w:r>
    </w:p>
    <w:p w14:paraId="41A1D653" w14:textId="77777777" w:rsidR="00044B66" w:rsidRDefault="00044B66" w:rsidP="00044B66">
      <w:pPr>
        <w:jc w:val="both"/>
        <w:rPr>
          <w:rFonts w:ascii="Arial" w:eastAsia="Times New Roman" w:hAnsi="Arial" w:cs="Arial"/>
        </w:rPr>
      </w:pPr>
    </w:p>
    <w:p w14:paraId="78A80391" w14:textId="77777777" w:rsidR="00044B66" w:rsidRPr="00836EF3" w:rsidRDefault="00044B66" w:rsidP="00044B66">
      <w:pPr>
        <w:autoSpaceDE w:val="0"/>
        <w:autoSpaceDN w:val="0"/>
        <w:adjustRightInd w:val="0"/>
        <w:rPr>
          <w:rFonts w:ascii="Arial" w:eastAsia="Times New Roman" w:hAnsi="Arial" w:cs="Arial"/>
          <w:color w:val="000000"/>
          <w:lang w:bidi="en-GB"/>
        </w:rPr>
      </w:pPr>
      <w:r w:rsidRPr="00836EF3">
        <w:rPr>
          <w:rFonts w:ascii="Arial" w:eastAsia="Times New Roman" w:hAnsi="Arial" w:cs="Arial"/>
          <w:i/>
          <w:color w:val="000000"/>
          <w:lang w:bidi="en-GB"/>
        </w:rPr>
        <w:t>Contraindications:</w:t>
      </w:r>
      <w:r>
        <w:rPr>
          <w:rFonts w:ascii="Arial" w:eastAsia="Times New Roman" w:hAnsi="Arial" w:cs="Arial"/>
          <w:i/>
          <w:color w:val="000000"/>
          <w:lang w:bidi="en-GB"/>
        </w:rPr>
        <w:t xml:space="preserve"> </w:t>
      </w:r>
      <w:proofErr w:type="spellStart"/>
      <w:r>
        <w:rPr>
          <w:rFonts w:ascii="Arial" w:eastAsia="Times New Roman" w:hAnsi="Arial" w:cs="Arial"/>
          <w:color w:val="000000"/>
          <w:lang w:bidi="en-GB"/>
        </w:rPr>
        <w:t>Hypocalcaemia</w:t>
      </w:r>
      <w:proofErr w:type="spellEnd"/>
      <w:r>
        <w:rPr>
          <w:rFonts w:ascii="Arial" w:eastAsia="Times New Roman" w:hAnsi="Arial" w:cs="Arial"/>
          <w:color w:val="000000"/>
          <w:lang w:bidi="en-GB"/>
        </w:rPr>
        <w:t>, i</w:t>
      </w:r>
      <w:r w:rsidRPr="002C0A80">
        <w:rPr>
          <w:rFonts w:ascii="Arial" w:eastAsia="Times New Roman" w:hAnsi="Arial" w:cs="Arial"/>
          <w:color w:val="000000"/>
          <w:lang w:bidi="en-GB"/>
        </w:rPr>
        <w:t xml:space="preserve">nability to stand or sit </w:t>
      </w:r>
      <w:r>
        <w:rPr>
          <w:rFonts w:ascii="Arial" w:eastAsia="Times New Roman" w:hAnsi="Arial" w:cs="Arial"/>
          <w:color w:val="000000"/>
          <w:lang w:bidi="en-GB"/>
        </w:rPr>
        <w:t>upright for at least 60 minutes, a</w:t>
      </w:r>
      <w:r w:rsidRPr="00836EF3">
        <w:rPr>
          <w:rFonts w:ascii="Arial" w:eastAsia="Times New Roman" w:hAnsi="Arial" w:cs="Arial"/>
          <w:color w:val="000000"/>
          <w:lang w:bidi="en-GB"/>
        </w:rPr>
        <w:t xml:space="preserve">bnormalities of the </w:t>
      </w:r>
      <w:proofErr w:type="spellStart"/>
      <w:r w:rsidRPr="00836EF3">
        <w:rPr>
          <w:rFonts w:ascii="Arial" w:eastAsia="Times New Roman" w:hAnsi="Arial" w:cs="Arial"/>
          <w:color w:val="000000"/>
          <w:lang w:bidi="en-GB"/>
        </w:rPr>
        <w:t>oesophagus</w:t>
      </w:r>
      <w:proofErr w:type="spellEnd"/>
      <w:r w:rsidRPr="00836EF3">
        <w:rPr>
          <w:rFonts w:ascii="Arial" w:eastAsia="Times New Roman" w:hAnsi="Arial" w:cs="Arial"/>
          <w:color w:val="000000"/>
          <w:lang w:bidi="en-GB"/>
        </w:rPr>
        <w:t xml:space="preserve"> which delay </w:t>
      </w:r>
      <w:proofErr w:type="spellStart"/>
      <w:r w:rsidRPr="00836EF3">
        <w:rPr>
          <w:rFonts w:ascii="Arial" w:eastAsia="Times New Roman" w:hAnsi="Arial" w:cs="Arial"/>
          <w:color w:val="000000"/>
          <w:lang w:bidi="en-GB"/>
        </w:rPr>
        <w:t>oesophageal</w:t>
      </w:r>
      <w:proofErr w:type="spellEnd"/>
      <w:r w:rsidRPr="00836EF3">
        <w:rPr>
          <w:rFonts w:ascii="Arial" w:eastAsia="Times New Roman" w:hAnsi="Arial" w:cs="Arial"/>
          <w:color w:val="000000"/>
          <w:lang w:bidi="en-GB"/>
        </w:rPr>
        <w:t xml:space="preserve"> emptying such as stricture or achala</w:t>
      </w:r>
      <w:r>
        <w:rPr>
          <w:rFonts w:ascii="Arial" w:eastAsia="Times New Roman" w:hAnsi="Arial" w:cs="Arial"/>
          <w:color w:val="000000"/>
          <w:lang w:bidi="en-GB"/>
        </w:rPr>
        <w:t>sia and h</w:t>
      </w:r>
      <w:r w:rsidRPr="00836EF3">
        <w:rPr>
          <w:rFonts w:ascii="Arial" w:eastAsia="Times New Roman" w:hAnsi="Arial" w:cs="Arial"/>
          <w:color w:val="000000"/>
          <w:lang w:bidi="en-GB"/>
        </w:rPr>
        <w:t>ypersensitivity to the active substance or to any of the excipients (</w:t>
      </w:r>
      <w:proofErr w:type="gramStart"/>
      <w:r w:rsidRPr="00836EF3">
        <w:rPr>
          <w:rFonts w:ascii="Arial" w:eastAsia="Times New Roman" w:hAnsi="Arial" w:cs="Arial"/>
          <w:color w:val="000000"/>
          <w:lang w:bidi="en-GB"/>
        </w:rPr>
        <w:t>e.g.</w:t>
      </w:r>
      <w:proofErr w:type="gramEnd"/>
      <w:r w:rsidRPr="00836EF3">
        <w:rPr>
          <w:rFonts w:ascii="Arial" w:eastAsia="Times New Roman" w:hAnsi="Arial" w:cs="Arial"/>
          <w:color w:val="000000"/>
          <w:lang w:bidi="en-GB"/>
        </w:rPr>
        <w:t xml:space="preserve"> lactose intolerance).</w:t>
      </w:r>
    </w:p>
    <w:p w14:paraId="609DD493" w14:textId="77777777" w:rsidR="00044B66" w:rsidRPr="008841A5" w:rsidRDefault="00044B66" w:rsidP="00044B66">
      <w:pPr>
        <w:jc w:val="both"/>
        <w:rPr>
          <w:rFonts w:ascii="Arial" w:eastAsia="Times New Roman" w:hAnsi="Arial" w:cs="Arial"/>
        </w:rPr>
      </w:pPr>
    </w:p>
    <w:p w14:paraId="21F0F1D5" w14:textId="77777777" w:rsidR="00044B66" w:rsidRPr="008841A5" w:rsidRDefault="00044B66" w:rsidP="00241293">
      <w:pPr>
        <w:numPr>
          <w:ilvl w:val="0"/>
          <w:numId w:val="5"/>
        </w:numPr>
        <w:jc w:val="both"/>
        <w:rPr>
          <w:rFonts w:ascii="Arial" w:eastAsia="Times New Roman" w:hAnsi="Arial" w:cs="Arial"/>
          <w:b/>
          <w:bCs/>
        </w:rPr>
      </w:pPr>
      <w:r w:rsidRPr="008841A5">
        <w:rPr>
          <w:rFonts w:ascii="Arial" w:eastAsia="Times New Roman" w:hAnsi="Arial" w:cs="Arial"/>
          <w:b/>
          <w:bCs/>
        </w:rPr>
        <w:t>Interactions</w:t>
      </w:r>
    </w:p>
    <w:p w14:paraId="337A3778" w14:textId="77777777" w:rsidR="00044B66" w:rsidRPr="008841A5" w:rsidRDefault="00044B66" w:rsidP="00044B66">
      <w:pPr>
        <w:autoSpaceDE w:val="0"/>
        <w:autoSpaceDN w:val="0"/>
        <w:adjustRightInd w:val="0"/>
        <w:rPr>
          <w:rFonts w:ascii="Arial" w:eastAsia="Times New Roman" w:hAnsi="Arial" w:cs="Arial"/>
          <w:color w:val="000000"/>
        </w:rPr>
      </w:pPr>
      <w:r w:rsidRPr="008841A5">
        <w:rPr>
          <w:rFonts w:ascii="Arial" w:eastAsia="Times New Roman" w:hAnsi="Arial" w:cs="Arial"/>
          <w:color w:val="000000"/>
        </w:rPr>
        <w:t>There are no significant drug interactions.</w:t>
      </w:r>
    </w:p>
    <w:p w14:paraId="72AECE2F" w14:textId="77777777" w:rsidR="00044B66" w:rsidRPr="008841A5" w:rsidRDefault="00044B66" w:rsidP="00044B66">
      <w:pPr>
        <w:autoSpaceDE w:val="0"/>
        <w:autoSpaceDN w:val="0"/>
        <w:adjustRightInd w:val="0"/>
        <w:rPr>
          <w:rFonts w:ascii="Arial" w:eastAsia="Times New Roman" w:hAnsi="Arial" w:cs="Arial"/>
          <w:color w:val="000000"/>
        </w:rPr>
      </w:pPr>
    </w:p>
    <w:p w14:paraId="3728C7E0" w14:textId="77777777" w:rsidR="00044B66" w:rsidRPr="008841A5" w:rsidRDefault="00044B66" w:rsidP="00044B66">
      <w:pPr>
        <w:jc w:val="both"/>
        <w:rPr>
          <w:rFonts w:ascii="Arial" w:eastAsia="Times New Roman" w:hAnsi="Arial" w:cs="Arial"/>
          <w:color w:val="000000"/>
        </w:rPr>
      </w:pPr>
      <w:r w:rsidRPr="008841A5">
        <w:rPr>
          <w:rFonts w:ascii="Arial" w:eastAsia="Times New Roman" w:hAnsi="Arial" w:cs="Arial"/>
          <w:color w:val="000000"/>
        </w:rPr>
        <w:t xml:space="preserve">Products containing calcium and other multivalent cations (such as </w:t>
      </w:r>
      <w:proofErr w:type="spellStart"/>
      <w:r w:rsidRPr="008841A5">
        <w:rPr>
          <w:rFonts w:ascii="Arial" w:eastAsia="Times New Roman" w:hAnsi="Arial" w:cs="Arial"/>
          <w:color w:val="000000"/>
        </w:rPr>
        <w:t>aluminium</w:t>
      </w:r>
      <w:proofErr w:type="spellEnd"/>
      <w:r w:rsidRPr="008841A5">
        <w:rPr>
          <w:rFonts w:ascii="Arial" w:eastAsia="Times New Roman" w:hAnsi="Arial" w:cs="Arial"/>
          <w:color w:val="000000"/>
        </w:rPr>
        <w:t xml:space="preserve">, magnesium, iron), including milk and food, are likely to interfere with absorption of </w:t>
      </w:r>
      <w:proofErr w:type="spellStart"/>
      <w:r w:rsidRPr="008841A5">
        <w:rPr>
          <w:rFonts w:ascii="Arial" w:eastAsia="Times New Roman" w:hAnsi="Arial" w:cs="Arial"/>
          <w:color w:val="000000"/>
        </w:rPr>
        <w:t>ibandronic</w:t>
      </w:r>
      <w:proofErr w:type="spellEnd"/>
      <w:r w:rsidRPr="008841A5">
        <w:rPr>
          <w:rFonts w:ascii="Arial" w:eastAsia="Times New Roman" w:hAnsi="Arial" w:cs="Arial"/>
          <w:color w:val="000000"/>
        </w:rPr>
        <w:t xml:space="preserve"> acid. </w:t>
      </w:r>
    </w:p>
    <w:p w14:paraId="3288BE4F" w14:textId="77777777" w:rsidR="00044B66" w:rsidRPr="008841A5" w:rsidRDefault="00044B66" w:rsidP="00044B66">
      <w:pPr>
        <w:jc w:val="both"/>
        <w:rPr>
          <w:rFonts w:ascii="Arial" w:eastAsia="Times New Roman" w:hAnsi="Arial" w:cs="Arial"/>
        </w:rPr>
      </w:pPr>
      <w:r w:rsidRPr="008841A5">
        <w:rPr>
          <w:rFonts w:ascii="Arial" w:eastAsia="Times New Roman" w:hAnsi="Arial" w:cs="Arial"/>
          <w:color w:val="000000"/>
        </w:rPr>
        <w:t xml:space="preserve"> </w:t>
      </w:r>
    </w:p>
    <w:p w14:paraId="42F99FAF" w14:textId="77777777" w:rsidR="00044B66" w:rsidRPr="008841A5" w:rsidRDefault="00044B66" w:rsidP="00044B66">
      <w:pPr>
        <w:keepNext/>
        <w:jc w:val="both"/>
        <w:outlineLvl w:val="1"/>
        <w:rPr>
          <w:rFonts w:ascii="Arial" w:eastAsia="Arial Unicode MS" w:hAnsi="Arial" w:cs="Arial"/>
          <w:b/>
        </w:rPr>
      </w:pPr>
      <w:r w:rsidRPr="008841A5">
        <w:rPr>
          <w:rFonts w:ascii="Arial" w:eastAsia="Arial Unicode MS" w:hAnsi="Arial" w:cs="Arial"/>
          <w:b/>
        </w:rPr>
        <w:t>7.  Monitoring</w:t>
      </w:r>
    </w:p>
    <w:p w14:paraId="7D6FE53F" w14:textId="77777777" w:rsidR="00044B66" w:rsidRPr="008841A5" w:rsidRDefault="00044B66" w:rsidP="00044B66">
      <w:pPr>
        <w:rPr>
          <w:rFonts w:ascii="Arial" w:eastAsia="Times New Roman" w:hAnsi="Arial" w:cs="Arial"/>
        </w:rPr>
      </w:pPr>
      <w:r w:rsidRPr="008841A5">
        <w:rPr>
          <w:rFonts w:ascii="Arial" w:eastAsia="Times New Roman" w:hAnsi="Arial" w:cs="Arial"/>
        </w:rPr>
        <w:t>LFT’s U&amp;E’s, creatinine, serum calcium, phosphate and magnesium, creatinine clearance every 3 months</w:t>
      </w:r>
    </w:p>
    <w:p w14:paraId="48BA9893" w14:textId="77777777" w:rsidR="00044B66" w:rsidRPr="008841A5" w:rsidRDefault="00044B66" w:rsidP="00044B66">
      <w:pPr>
        <w:rPr>
          <w:rFonts w:ascii="Arial" w:eastAsia="Times New Roman" w:hAnsi="Arial" w:cs="Arial"/>
        </w:rPr>
      </w:pPr>
    </w:p>
    <w:p w14:paraId="397C0E74" w14:textId="77777777" w:rsidR="00044B66" w:rsidRPr="008841A5" w:rsidRDefault="00044B66" w:rsidP="00044B66">
      <w:pPr>
        <w:rPr>
          <w:rFonts w:ascii="Arial" w:eastAsia="Times New Roman" w:hAnsi="Arial" w:cs="Arial"/>
          <w:b/>
          <w:bCs/>
        </w:rPr>
      </w:pPr>
      <w:r w:rsidRPr="008841A5">
        <w:rPr>
          <w:rFonts w:ascii="Arial" w:eastAsia="Times New Roman" w:hAnsi="Arial" w:cs="Arial"/>
          <w:b/>
          <w:bCs/>
        </w:rPr>
        <w:t>8. Information to patient</w:t>
      </w:r>
    </w:p>
    <w:p w14:paraId="674343D1" w14:textId="77777777" w:rsidR="00044B66" w:rsidRPr="008841A5" w:rsidRDefault="00044B66" w:rsidP="00044B66">
      <w:pPr>
        <w:rPr>
          <w:rFonts w:ascii="Arial" w:eastAsia="Times New Roman" w:hAnsi="Arial" w:cs="Arial"/>
        </w:rPr>
      </w:pPr>
      <w:r w:rsidRPr="008841A5">
        <w:rPr>
          <w:rFonts w:ascii="Arial" w:eastAsia="Times New Roman" w:hAnsi="Arial" w:cs="Arial"/>
        </w:rPr>
        <w:t xml:space="preserve">Take tablet first thing in the morning after an overnight fast and before the first food or drink of the day </w:t>
      </w:r>
      <w:r w:rsidRPr="008841A5">
        <w:rPr>
          <w:rFonts w:ascii="Arial" w:eastAsia="Times New Roman" w:hAnsi="Arial" w:cs="Arial"/>
          <w:color w:val="000000"/>
        </w:rPr>
        <w:t xml:space="preserve">and do not eat or take other medicines for 30minutes to </w:t>
      </w:r>
      <w:r w:rsidRPr="008841A5">
        <w:rPr>
          <w:rFonts w:ascii="Arial" w:eastAsia="Times New Roman" w:hAnsi="Arial" w:cs="Arial"/>
        </w:rPr>
        <w:t>1 hour</w:t>
      </w:r>
      <w:r w:rsidRPr="008841A5">
        <w:rPr>
          <w:rFonts w:ascii="Arial" w:eastAsia="Times New Roman" w:hAnsi="Arial" w:cs="Arial"/>
          <w:color w:val="000000"/>
        </w:rPr>
        <w:t xml:space="preserve"> after taking the tablet. </w:t>
      </w:r>
    </w:p>
    <w:p w14:paraId="1A8D944D" w14:textId="77777777" w:rsidR="00044B66" w:rsidRPr="008841A5" w:rsidRDefault="00044B66" w:rsidP="00044B66">
      <w:pPr>
        <w:rPr>
          <w:rFonts w:ascii="Arial" w:eastAsia="Times New Roman" w:hAnsi="Arial" w:cs="Arial"/>
        </w:rPr>
      </w:pPr>
      <w:r w:rsidRPr="008841A5">
        <w:rPr>
          <w:rFonts w:ascii="Arial" w:eastAsia="Times New Roman" w:hAnsi="Arial" w:cs="Arial"/>
        </w:rPr>
        <w:t xml:space="preserve">− The tablet should be swallowed whole with a full glass of plain water while standing or sitting in an upright position. </w:t>
      </w:r>
    </w:p>
    <w:p w14:paraId="447F0C9D" w14:textId="77777777" w:rsidR="00044B66" w:rsidRPr="008841A5" w:rsidRDefault="00044B66" w:rsidP="00044B66">
      <w:pPr>
        <w:rPr>
          <w:rFonts w:ascii="Arial" w:eastAsia="Times New Roman" w:hAnsi="Arial" w:cs="Arial"/>
        </w:rPr>
      </w:pPr>
      <w:r w:rsidRPr="008841A5">
        <w:rPr>
          <w:rFonts w:ascii="Arial" w:eastAsia="Times New Roman" w:hAnsi="Arial" w:cs="Arial"/>
        </w:rPr>
        <w:t xml:space="preserve">− Patients should not lie down for 60 minutes after taking ibandronate. </w:t>
      </w:r>
    </w:p>
    <w:p w14:paraId="5913B72E" w14:textId="77777777" w:rsidR="00044B66" w:rsidRPr="008841A5" w:rsidRDefault="00044B66" w:rsidP="00044B66">
      <w:pPr>
        <w:rPr>
          <w:rFonts w:ascii="Arial" w:eastAsia="Times New Roman" w:hAnsi="Arial" w:cs="Arial"/>
        </w:rPr>
      </w:pPr>
      <w:r w:rsidRPr="008841A5">
        <w:rPr>
          <w:rFonts w:ascii="Arial" w:eastAsia="Times New Roman" w:hAnsi="Arial" w:cs="Arial"/>
        </w:rPr>
        <w:t xml:space="preserve">− Patients should not chew or suck the tablet because of a potential for oropharyngeal ulceration. </w:t>
      </w:r>
    </w:p>
    <w:p w14:paraId="646738E0" w14:textId="77777777" w:rsidR="00044B66" w:rsidRPr="008841A5" w:rsidRDefault="00044B66" w:rsidP="00044B66">
      <w:pPr>
        <w:rPr>
          <w:rFonts w:ascii="Arial" w:eastAsia="Times New Roman" w:hAnsi="Arial" w:cs="Arial"/>
          <w:b/>
          <w:bCs/>
        </w:rPr>
      </w:pPr>
      <w:r w:rsidRPr="008841A5">
        <w:rPr>
          <w:rFonts w:ascii="Arial" w:eastAsia="Times New Roman" w:hAnsi="Arial" w:cs="Arial"/>
        </w:rPr>
        <w:t>− Plain water is the only drink that should be taken with ibandronate. Please note that some mineral waters may have a higher concentration of calcium and therefore should not be used.</w:t>
      </w:r>
    </w:p>
    <w:p w14:paraId="66FDC90E"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t xml:space="preserve">Patients and </w:t>
      </w:r>
      <w:proofErr w:type="spellStart"/>
      <w:r w:rsidRPr="00151846">
        <w:rPr>
          <w:rFonts w:ascii="Arial" w:eastAsia="Times New Roman" w:hAnsi="Arial" w:cs="Arial"/>
          <w:lang w:bidi="en-GB"/>
        </w:rPr>
        <w:t>carers</w:t>
      </w:r>
      <w:proofErr w:type="spellEnd"/>
      <w:r w:rsidRPr="00151846">
        <w:rPr>
          <w:rFonts w:ascii="Arial" w:eastAsia="Times New Roman" w:hAnsi="Arial" w:cs="Arial"/>
          <w:lang w:bidi="en-GB"/>
        </w:rPr>
        <w:t xml:space="preserve"> should be advised to stop tablets and seek medical attention for symptoms of </w:t>
      </w:r>
      <w:proofErr w:type="spellStart"/>
      <w:r w:rsidRPr="00151846">
        <w:rPr>
          <w:rFonts w:ascii="Arial" w:eastAsia="Times New Roman" w:hAnsi="Arial" w:cs="Arial"/>
          <w:lang w:bidi="en-GB"/>
        </w:rPr>
        <w:t>oesophageal</w:t>
      </w:r>
      <w:proofErr w:type="spellEnd"/>
      <w:r w:rsidRPr="00151846">
        <w:rPr>
          <w:rFonts w:ascii="Arial" w:eastAsia="Times New Roman" w:hAnsi="Arial" w:cs="Arial"/>
          <w:lang w:bidi="en-GB"/>
        </w:rPr>
        <w:t xml:space="preserve"> irritation such as dysphagia, pain on swallowing, retrosternal pain, or heartburn.</w:t>
      </w:r>
    </w:p>
    <w:p w14:paraId="31171C91"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lastRenderedPageBreak/>
        <w:t>During treatment patients should maintain good oral hygiene, receive routine dental check-ups, and report any oral symptoms such as dental mobility, pain or swelling, non-healing sores or discharge to a doctor and dentist.</w:t>
      </w:r>
    </w:p>
    <w:p w14:paraId="5EAFB187"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t>Patients should be advised to report any ear pain, discharge from the ear or an ear infection during treatment with a bisphosphonate.</w:t>
      </w:r>
    </w:p>
    <w:p w14:paraId="153A737E"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t>Patients should be advised to report any thigh, hip, or groin pain during treatment with a bisphosphonate.</w:t>
      </w:r>
    </w:p>
    <w:p w14:paraId="7E6D6E61" w14:textId="77777777" w:rsidR="00044B66" w:rsidRPr="003F7276" w:rsidRDefault="00044B66" w:rsidP="00241293">
      <w:pPr>
        <w:numPr>
          <w:ilvl w:val="0"/>
          <w:numId w:val="15"/>
        </w:numPr>
        <w:ind w:left="284" w:hanging="284"/>
        <w:rPr>
          <w:rFonts w:ascii="Arial" w:eastAsia="Times New Roman" w:hAnsi="Arial" w:cs="Arial"/>
          <w:lang w:bidi="en-GB"/>
        </w:rPr>
      </w:pPr>
      <w:r w:rsidRPr="003F7276">
        <w:rPr>
          <w:rFonts w:ascii="Arial" w:eastAsia="Times New Roman" w:hAnsi="Arial" w:cs="Arial"/>
          <w:lang w:bidi="en-GB"/>
        </w:rPr>
        <w:t>Patients should be advised to contact their GP if they have any concerns with the medication.</w:t>
      </w:r>
    </w:p>
    <w:p w14:paraId="473075A0" w14:textId="77777777" w:rsidR="00044B66" w:rsidRDefault="00044B66" w:rsidP="00044B66">
      <w:pPr>
        <w:rPr>
          <w:rFonts w:ascii="Arial" w:eastAsia="Times New Roman" w:hAnsi="Arial" w:cs="Arial"/>
        </w:rPr>
      </w:pPr>
    </w:p>
    <w:p w14:paraId="291D54AB" w14:textId="77777777" w:rsidR="00044B66" w:rsidRDefault="00044B66" w:rsidP="00044B66">
      <w:pPr>
        <w:spacing w:after="200" w:line="276" w:lineRule="auto"/>
        <w:rPr>
          <w:rFonts w:ascii="Arial" w:eastAsia="Times New Roman" w:hAnsi="Arial" w:cs="Arial"/>
        </w:rPr>
      </w:pPr>
      <w:r>
        <w:rPr>
          <w:rFonts w:ascii="Arial" w:eastAsia="Times New Roman" w:hAnsi="Arial" w:cs="Arial"/>
        </w:rPr>
        <w:br w:type="page"/>
      </w:r>
    </w:p>
    <w:p w14:paraId="6545D9EB" w14:textId="77777777" w:rsidR="00044B66" w:rsidRPr="008841A5" w:rsidRDefault="00044B66" w:rsidP="00241293">
      <w:pPr>
        <w:numPr>
          <w:ilvl w:val="0"/>
          <w:numId w:val="6"/>
        </w:numPr>
        <w:rPr>
          <w:rFonts w:ascii="Arial" w:eastAsia="Times New Roman" w:hAnsi="Arial" w:cs="Arial"/>
          <w:b/>
          <w:bCs/>
        </w:rPr>
      </w:pPr>
      <w:r>
        <w:rPr>
          <w:rFonts w:ascii="Arial" w:eastAsia="Times New Roman" w:hAnsi="Arial" w:cs="Arial"/>
          <w:b/>
        </w:rPr>
        <w:lastRenderedPageBreak/>
        <w:t>R</w:t>
      </w:r>
      <w:r w:rsidRPr="008841A5">
        <w:rPr>
          <w:rFonts w:ascii="Arial" w:eastAsia="Times New Roman" w:hAnsi="Arial" w:cs="Arial"/>
          <w:b/>
          <w:bCs/>
        </w:rPr>
        <w:t>esponsibilities of clinicians involved</w:t>
      </w:r>
    </w:p>
    <w:p w14:paraId="43C5F63F" w14:textId="77777777" w:rsidR="00044B66" w:rsidRPr="008841A5" w:rsidRDefault="00044B66" w:rsidP="00044B66">
      <w:pPr>
        <w:rPr>
          <w:rFonts w:ascii="Arial" w:eastAsia="Times New Roman" w:hAnsi="Arial" w:cs="Arial"/>
          <w:b/>
          <w:bCs/>
        </w:rPr>
      </w:pPr>
    </w:p>
    <w:tbl>
      <w:tblPr>
        <w:tblW w:w="11160" w:type="dxa"/>
        <w:tblInd w:w="-13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6"/>
        <w:gridCol w:w="4387"/>
        <w:gridCol w:w="5297"/>
      </w:tblGrid>
      <w:tr w:rsidR="00044B66" w:rsidRPr="008841A5" w14:paraId="10B903C1" w14:textId="77777777" w:rsidTr="00760C44">
        <w:tc>
          <w:tcPr>
            <w:tcW w:w="1296" w:type="dxa"/>
            <w:tcBorders>
              <w:top w:val="single" w:sz="4" w:space="0" w:color="auto"/>
              <w:left w:val="single" w:sz="4" w:space="0" w:color="auto"/>
              <w:bottom w:val="single" w:sz="4" w:space="0" w:color="auto"/>
              <w:right w:val="single" w:sz="4" w:space="0" w:color="auto"/>
            </w:tcBorders>
          </w:tcPr>
          <w:p w14:paraId="1C849B9E" w14:textId="77777777" w:rsidR="00044B66" w:rsidRPr="008841A5" w:rsidRDefault="00044B66" w:rsidP="00760C44">
            <w:pPr>
              <w:rPr>
                <w:rFonts w:ascii="Arial" w:eastAsia="Times New Roman" w:hAnsi="Arial" w:cs="Arial"/>
                <w:b/>
                <w:bCs/>
              </w:rPr>
            </w:pPr>
            <w:r w:rsidRPr="008841A5">
              <w:rPr>
                <w:rFonts w:ascii="Arial" w:eastAsia="Times New Roman" w:hAnsi="Arial" w:cs="Arial"/>
                <w:b/>
                <w:bCs/>
              </w:rPr>
              <w:t>Stage of Treatment</w:t>
            </w:r>
          </w:p>
        </w:tc>
        <w:tc>
          <w:tcPr>
            <w:tcW w:w="4464" w:type="dxa"/>
            <w:tcBorders>
              <w:top w:val="single" w:sz="4" w:space="0" w:color="auto"/>
              <w:left w:val="single" w:sz="4" w:space="0" w:color="auto"/>
              <w:bottom w:val="single" w:sz="4" w:space="0" w:color="auto"/>
              <w:right w:val="single" w:sz="4" w:space="0" w:color="auto"/>
            </w:tcBorders>
          </w:tcPr>
          <w:p w14:paraId="2652AFE0" w14:textId="77777777" w:rsidR="00044B66" w:rsidRPr="008841A5" w:rsidRDefault="00044B66" w:rsidP="00760C44">
            <w:pPr>
              <w:rPr>
                <w:rFonts w:ascii="Arial" w:eastAsia="Times New Roman" w:hAnsi="Arial" w:cs="Arial"/>
                <w:b/>
                <w:bCs/>
              </w:rPr>
            </w:pPr>
            <w:r w:rsidRPr="008841A5">
              <w:rPr>
                <w:rFonts w:ascii="Arial" w:eastAsia="Times New Roman" w:hAnsi="Arial" w:cs="Arial"/>
                <w:b/>
                <w:bCs/>
              </w:rPr>
              <w:t>Hospital Specialist</w:t>
            </w:r>
          </w:p>
        </w:tc>
        <w:tc>
          <w:tcPr>
            <w:tcW w:w="5400" w:type="dxa"/>
            <w:tcBorders>
              <w:top w:val="single" w:sz="4" w:space="0" w:color="auto"/>
              <w:left w:val="single" w:sz="4" w:space="0" w:color="auto"/>
              <w:bottom w:val="single" w:sz="4" w:space="0" w:color="auto"/>
              <w:right w:val="single" w:sz="4" w:space="0" w:color="auto"/>
            </w:tcBorders>
          </w:tcPr>
          <w:p w14:paraId="4D31F60C" w14:textId="77777777" w:rsidR="00044B66" w:rsidRPr="008841A5" w:rsidRDefault="00044B66" w:rsidP="00760C44">
            <w:pPr>
              <w:rPr>
                <w:rFonts w:ascii="Arial" w:eastAsia="Times New Roman" w:hAnsi="Arial" w:cs="Arial"/>
                <w:b/>
                <w:bCs/>
              </w:rPr>
            </w:pPr>
            <w:r w:rsidRPr="008841A5">
              <w:rPr>
                <w:rFonts w:ascii="Arial" w:eastAsia="Times New Roman" w:hAnsi="Arial" w:cs="Arial"/>
                <w:b/>
                <w:bCs/>
              </w:rPr>
              <w:t>General Practitioner</w:t>
            </w:r>
          </w:p>
        </w:tc>
      </w:tr>
      <w:tr w:rsidR="00044B66" w:rsidRPr="008841A5" w14:paraId="152B064D" w14:textId="77777777" w:rsidTr="00760C44">
        <w:tc>
          <w:tcPr>
            <w:tcW w:w="1296" w:type="dxa"/>
            <w:tcBorders>
              <w:top w:val="single" w:sz="4" w:space="0" w:color="auto"/>
              <w:left w:val="single" w:sz="4" w:space="0" w:color="auto"/>
              <w:bottom w:val="single" w:sz="4" w:space="0" w:color="auto"/>
              <w:right w:val="single" w:sz="4" w:space="0" w:color="auto"/>
            </w:tcBorders>
          </w:tcPr>
          <w:p w14:paraId="24D1AAFA" w14:textId="77777777" w:rsidR="00044B66" w:rsidRPr="008841A5" w:rsidRDefault="00044B66" w:rsidP="00760C44">
            <w:pPr>
              <w:rPr>
                <w:rFonts w:ascii="Arial" w:eastAsia="Times New Roman" w:hAnsi="Arial" w:cs="Arial"/>
              </w:rPr>
            </w:pPr>
            <w:r w:rsidRPr="008841A5">
              <w:rPr>
                <w:rFonts w:ascii="Arial" w:eastAsia="Times New Roman" w:hAnsi="Arial" w:cs="Arial"/>
              </w:rPr>
              <w:t>Initiation</w:t>
            </w:r>
          </w:p>
        </w:tc>
        <w:tc>
          <w:tcPr>
            <w:tcW w:w="4464" w:type="dxa"/>
            <w:tcBorders>
              <w:top w:val="single" w:sz="4" w:space="0" w:color="auto"/>
              <w:left w:val="single" w:sz="4" w:space="0" w:color="auto"/>
              <w:bottom w:val="single" w:sz="4" w:space="0" w:color="auto"/>
              <w:right w:val="single" w:sz="4" w:space="0" w:color="auto"/>
            </w:tcBorders>
          </w:tcPr>
          <w:p w14:paraId="1A990493" w14:textId="77777777" w:rsidR="00044B66" w:rsidRPr="008841A5" w:rsidRDefault="00044B66" w:rsidP="00760C44">
            <w:pPr>
              <w:rPr>
                <w:rFonts w:ascii="Arial" w:eastAsia="Times New Roman" w:hAnsi="Arial" w:cs="Arial"/>
              </w:rPr>
            </w:pPr>
            <w:r w:rsidRPr="008841A5">
              <w:rPr>
                <w:rFonts w:ascii="Arial" w:eastAsia="Times New Roman" w:hAnsi="Arial" w:cs="Arial"/>
              </w:rPr>
              <w:t>Assessing the patient and establishing a need for bisphosphonate treatment.</w:t>
            </w:r>
          </w:p>
          <w:p w14:paraId="7B514760" w14:textId="77777777" w:rsidR="00044B66" w:rsidRPr="008841A5" w:rsidRDefault="00044B66" w:rsidP="00760C44">
            <w:pPr>
              <w:rPr>
                <w:rFonts w:ascii="Arial" w:eastAsia="Times New Roman" w:hAnsi="Arial" w:cs="Arial"/>
              </w:rPr>
            </w:pPr>
            <w:r w:rsidRPr="008841A5">
              <w:rPr>
                <w:rFonts w:ascii="Arial" w:eastAsia="Times New Roman" w:hAnsi="Arial" w:cs="Arial"/>
              </w:rPr>
              <w:t>Establishing that the patient has adequate renal function (estimated creatinine clearance greater than 30ml/min)</w:t>
            </w:r>
          </w:p>
          <w:p w14:paraId="782C351E" w14:textId="77777777" w:rsidR="00044B66" w:rsidRPr="008841A5" w:rsidRDefault="00044B66" w:rsidP="00760C44">
            <w:pPr>
              <w:rPr>
                <w:rFonts w:ascii="Arial" w:eastAsia="Times New Roman" w:hAnsi="Arial" w:cs="Arial"/>
              </w:rPr>
            </w:pPr>
            <w:r w:rsidRPr="008841A5">
              <w:rPr>
                <w:rFonts w:ascii="Arial" w:eastAsia="Times New Roman" w:hAnsi="Arial" w:cs="Arial"/>
              </w:rPr>
              <w:t>Ensuring that there are no contra-indications to therapy with ibandronate.</w:t>
            </w:r>
          </w:p>
          <w:p w14:paraId="52FEBADB"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 xml:space="preserve">Providing information for the patient, including adverse effects, obtaining </w:t>
            </w:r>
            <w:proofErr w:type="gramStart"/>
            <w:r w:rsidRPr="008841A5">
              <w:rPr>
                <w:rFonts w:ascii="Arial" w:eastAsia="Times New Roman" w:hAnsi="Arial" w:cs="Arial"/>
              </w:rPr>
              <w:t>consent</w:t>
            </w:r>
            <w:proofErr w:type="gramEnd"/>
            <w:r w:rsidRPr="008841A5">
              <w:rPr>
                <w:rFonts w:ascii="Arial" w:eastAsia="Times New Roman" w:hAnsi="Arial" w:cs="Arial"/>
              </w:rPr>
              <w:t xml:space="preserve"> and initiating treatment.</w:t>
            </w:r>
          </w:p>
          <w:p w14:paraId="11534040" w14:textId="77777777" w:rsidR="00044B66" w:rsidRDefault="00044B66" w:rsidP="00760C44">
            <w:pPr>
              <w:rPr>
                <w:rFonts w:ascii="Arial" w:eastAsia="Times New Roman" w:hAnsi="Arial" w:cs="Arial"/>
              </w:rPr>
            </w:pPr>
            <w:r w:rsidRPr="008841A5">
              <w:rPr>
                <w:rFonts w:ascii="Arial" w:eastAsia="Times New Roman" w:hAnsi="Arial" w:cs="Arial"/>
              </w:rPr>
              <w:t>Contacting the GP to invite shared care for the patient.</w:t>
            </w:r>
          </w:p>
          <w:p w14:paraId="41D47ED0" w14:textId="77777777" w:rsidR="00044B66" w:rsidRPr="008841A5" w:rsidRDefault="00044B66" w:rsidP="00760C44">
            <w:pPr>
              <w:rPr>
                <w:rFonts w:ascii="Arial" w:eastAsia="Times New Roman" w:hAnsi="Arial" w:cs="Arial"/>
              </w:rPr>
            </w:pPr>
            <w:r>
              <w:rPr>
                <w:rFonts w:ascii="Arial" w:eastAsia="Times New Roman" w:hAnsi="Arial" w:cs="Arial"/>
              </w:rPr>
              <w:t>Stop any other bisphosphonates</w:t>
            </w:r>
          </w:p>
        </w:tc>
        <w:tc>
          <w:tcPr>
            <w:tcW w:w="5400" w:type="dxa"/>
            <w:tcBorders>
              <w:top w:val="single" w:sz="4" w:space="0" w:color="auto"/>
              <w:left w:val="single" w:sz="4" w:space="0" w:color="auto"/>
              <w:bottom w:val="single" w:sz="4" w:space="0" w:color="auto"/>
              <w:right w:val="single" w:sz="4" w:space="0" w:color="auto"/>
            </w:tcBorders>
          </w:tcPr>
          <w:p w14:paraId="1011C7CF" w14:textId="77777777" w:rsidR="00044B66" w:rsidRPr="008841A5" w:rsidRDefault="00044B66" w:rsidP="00760C44">
            <w:pPr>
              <w:rPr>
                <w:rFonts w:ascii="Arial" w:eastAsia="Times New Roman" w:hAnsi="Arial" w:cs="Arial"/>
              </w:rPr>
            </w:pPr>
          </w:p>
        </w:tc>
      </w:tr>
      <w:tr w:rsidR="00044B66" w:rsidRPr="008841A5" w14:paraId="3377DF40" w14:textId="77777777" w:rsidTr="00760C44">
        <w:trPr>
          <w:trHeight w:val="3375"/>
        </w:trPr>
        <w:tc>
          <w:tcPr>
            <w:tcW w:w="1296" w:type="dxa"/>
            <w:tcBorders>
              <w:top w:val="single" w:sz="4" w:space="0" w:color="auto"/>
              <w:left w:val="single" w:sz="4" w:space="0" w:color="auto"/>
              <w:bottom w:val="single" w:sz="4" w:space="0" w:color="auto"/>
              <w:right w:val="single" w:sz="4" w:space="0" w:color="auto"/>
            </w:tcBorders>
          </w:tcPr>
          <w:p w14:paraId="2E9D70FF" w14:textId="77777777" w:rsidR="00044B66" w:rsidRPr="008841A5" w:rsidRDefault="00044B66" w:rsidP="00760C44">
            <w:pPr>
              <w:rPr>
                <w:rFonts w:ascii="Arial" w:eastAsia="Times New Roman" w:hAnsi="Arial" w:cs="Arial"/>
              </w:rPr>
            </w:pPr>
            <w:r w:rsidRPr="008841A5">
              <w:rPr>
                <w:rFonts w:ascii="Arial" w:eastAsia="Times New Roman" w:hAnsi="Arial" w:cs="Arial"/>
              </w:rPr>
              <w:t xml:space="preserve">Maintenance </w:t>
            </w:r>
          </w:p>
        </w:tc>
        <w:tc>
          <w:tcPr>
            <w:tcW w:w="4464" w:type="dxa"/>
            <w:tcBorders>
              <w:top w:val="single" w:sz="4" w:space="0" w:color="auto"/>
              <w:left w:val="single" w:sz="4" w:space="0" w:color="auto"/>
              <w:bottom w:val="single" w:sz="4" w:space="0" w:color="auto"/>
              <w:right w:val="single" w:sz="4" w:space="0" w:color="auto"/>
            </w:tcBorders>
          </w:tcPr>
          <w:p w14:paraId="6904A2E0"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Assessing the continued appropriateness for ibandronate on a 3 monthly basis.</w:t>
            </w:r>
          </w:p>
          <w:p w14:paraId="71E96D13"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Reviewing any concerns regarding disease progression from the GP within 2 weeks.</w:t>
            </w:r>
          </w:p>
          <w:p w14:paraId="230A5BDA"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Monitoring toxicity and reporting adverse events</w:t>
            </w:r>
          </w:p>
          <w:p w14:paraId="5F728E0A"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Ensuring that all other medical professionals in the shared care team are kept informed of any changes in the patient’s circumstances.</w:t>
            </w:r>
          </w:p>
          <w:p w14:paraId="48BFF94A" w14:textId="77777777" w:rsidR="00044B66" w:rsidRPr="008841A5" w:rsidRDefault="00044B66" w:rsidP="00760C44">
            <w:pPr>
              <w:rPr>
                <w:rFonts w:ascii="Arial" w:eastAsia="Times New Roman" w:hAnsi="Arial" w:cs="Arial"/>
              </w:rPr>
            </w:pPr>
          </w:p>
        </w:tc>
        <w:tc>
          <w:tcPr>
            <w:tcW w:w="5400" w:type="dxa"/>
            <w:tcBorders>
              <w:top w:val="single" w:sz="4" w:space="0" w:color="auto"/>
              <w:left w:val="single" w:sz="4" w:space="0" w:color="auto"/>
              <w:bottom w:val="single" w:sz="4" w:space="0" w:color="auto"/>
              <w:right w:val="single" w:sz="4" w:space="0" w:color="auto"/>
            </w:tcBorders>
          </w:tcPr>
          <w:p w14:paraId="07CB55B1"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Provision of general care and advice to the patient and her family/</w:t>
            </w:r>
            <w:proofErr w:type="spellStart"/>
            <w:r w:rsidRPr="008841A5">
              <w:rPr>
                <w:rFonts w:ascii="Arial" w:eastAsia="Times New Roman" w:hAnsi="Arial" w:cs="Arial"/>
              </w:rPr>
              <w:t>carers</w:t>
            </w:r>
            <w:proofErr w:type="spellEnd"/>
            <w:r w:rsidRPr="008841A5">
              <w:rPr>
                <w:rFonts w:ascii="Arial" w:eastAsia="Times New Roman" w:hAnsi="Arial" w:cs="Arial"/>
              </w:rPr>
              <w:t>.</w:t>
            </w:r>
          </w:p>
          <w:p w14:paraId="1EA3178F"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 xml:space="preserve">Assessment of continued </w:t>
            </w:r>
            <w:proofErr w:type="spellStart"/>
            <w:r w:rsidRPr="008841A5">
              <w:rPr>
                <w:rFonts w:ascii="Arial" w:eastAsia="Times New Roman" w:hAnsi="Arial" w:cs="Arial"/>
              </w:rPr>
              <w:t>well being</w:t>
            </w:r>
            <w:proofErr w:type="spellEnd"/>
            <w:r w:rsidRPr="008841A5">
              <w:rPr>
                <w:rFonts w:ascii="Arial" w:eastAsia="Times New Roman" w:hAnsi="Arial" w:cs="Arial"/>
              </w:rPr>
              <w:t xml:space="preserve"> of the patient.</w:t>
            </w:r>
          </w:p>
          <w:p w14:paraId="71CB7B86" w14:textId="77777777" w:rsidR="00044B66" w:rsidRPr="0050630D" w:rsidRDefault="00044B66" w:rsidP="00760C44">
            <w:pPr>
              <w:autoSpaceDE w:val="0"/>
              <w:autoSpaceDN w:val="0"/>
              <w:adjustRightInd w:val="0"/>
              <w:rPr>
                <w:rFonts w:ascii="Arial" w:eastAsia="Times New Roman" w:hAnsi="Arial" w:cs="Arial"/>
              </w:rPr>
            </w:pPr>
            <w:r w:rsidRPr="0050630D">
              <w:rPr>
                <w:rFonts w:ascii="Arial" w:eastAsia="Times New Roman" w:hAnsi="Arial" w:cs="Arial"/>
              </w:rPr>
              <w:t xml:space="preserve">No routine monitoring of toxicity is required, however referral to secondary care is necessary if the patient presents with signs of hypo or hypercalcemia, clinical deterioration or reduced renal function: </w:t>
            </w:r>
          </w:p>
          <w:p w14:paraId="264EB4D3" w14:textId="77777777" w:rsidR="00044B66" w:rsidRPr="0050630D" w:rsidRDefault="00044B66" w:rsidP="00760C44">
            <w:pPr>
              <w:autoSpaceDE w:val="0"/>
              <w:autoSpaceDN w:val="0"/>
              <w:adjustRightInd w:val="0"/>
              <w:rPr>
                <w:rFonts w:ascii="Arial" w:eastAsia="Times New Roman" w:hAnsi="Arial" w:cs="Arial"/>
              </w:rPr>
            </w:pPr>
            <w:r w:rsidRPr="0050630D">
              <w:rPr>
                <w:rFonts w:ascii="Arial" w:eastAsia="Times New Roman" w:hAnsi="Arial" w:cs="Arial"/>
              </w:rPr>
              <w:t>a)</w:t>
            </w:r>
            <w:r w:rsidRPr="0050630D">
              <w:rPr>
                <w:rFonts w:ascii="Arial" w:eastAsia="Times New Roman" w:hAnsi="Arial" w:cs="Arial"/>
              </w:rPr>
              <w:tab/>
              <w:t xml:space="preserve">If normal at </w:t>
            </w:r>
            <w:proofErr w:type="gramStart"/>
            <w:r w:rsidRPr="0050630D">
              <w:rPr>
                <w:rFonts w:ascii="Arial" w:eastAsia="Times New Roman" w:hAnsi="Arial" w:cs="Arial"/>
              </w:rPr>
              <w:t>baseline</w:t>
            </w:r>
            <w:proofErr w:type="gramEnd"/>
            <w:r w:rsidRPr="0050630D">
              <w:rPr>
                <w:rFonts w:ascii="Arial" w:eastAsia="Times New Roman" w:hAnsi="Arial" w:cs="Arial"/>
              </w:rPr>
              <w:t xml:space="preserve"> then reduction to &lt;50mL/min</w:t>
            </w:r>
          </w:p>
          <w:p w14:paraId="347BC0EB" w14:textId="77777777" w:rsidR="00044B66" w:rsidRDefault="00044B66" w:rsidP="00760C44">
            <w:pPr>
              <w:autoSpaceDE w:val="0"/>
              <w:autoSpaceDN w:val="0"/>
              <w:adjustRightInd w:val="0"/>
              <w:rPr>
                <w:rFonts w:ascii="Arial" w:eastAsia="Times New Roman" w:hAnsi="Arial" w:cs="Arial"/>
              </w:rPr>
            </w:pPr>
            <w:r w:rsidRPr="0050630D">
              <w:rPr>
                <w:rFonts w:ascii="Arial" w:eastAsia="Times New Roman" w:hAnsi="Arial" w:cs="Arial"/>
              </w:rPr>
              <w:t>b)</w:t>
            </w:r>
            <w:r w:rsidRPr="0050630D">
              <w:rPr>
                <w:rFonts w:ascii="Arial" w:eastAsia="Times New Roman" w:hAnsi="Arial" w:cs="Arial"/>
              </w:rPr>
              <w:tab/>
              <w:t>If below normal at baseline and on appropriately modified dose (see page 2) then reduction of &gt;10mL/min form baseline (</w:t>
            </w:r>
            <w:proofErr w:type="spellStart"/>
            <w:r w:rsidRPr="0050630D">
              <w:rPr>
                <w:rFonts w:ascii="Arial" w:eastAsia="Times New Roman" w:hAnsi="Arial" w:cs="Arial"/>
              </w:rPr>
              <w:t>i.</w:t>
            </w:r>
            <w:proofErr w:type="gramStart"/>
            <w:r>
              <w:rPr>
                <w:rFonts w:ascii="Arial" w:eastAsia="Times New Roman" w:hAnsi="Arial" w:cs="Arial"/>
              </w:rPr>
              <w:t>e.if</w:t>
            </w:r>
            <w:proofErr w:type="spellEnd"/>
            <w:proofErr w:type="gramEnd"/>
            <w:r>
              <w:rPr>
                <w:rFonts w:ascii="Arial" w:eastAsia="Times New Roman" w:hAnsi="Arial" w:cs="Arial"/>
              </w:rPr>
              <w:t xml:space="preserve"> drops from 38 to 28mL/min). </w:t>
            </w:r>
          </w:p>
          <w:p w14:paraId="0AA4CF0A" w14:textId="77777777" w:rsidR="00044B66" w:rsidRPr="008841A5" w:rsidRDefault="00044B66" w:rsidP="00760C44">
            <w:pPr>
              <w:autoSpaceDE w:val="0"/>
              <w:autoSpaceDN w:val="0"/>
              <w:adjustRightInd w:val="0"/>
              <w:rPr>
                <w:rFonts w:ascii="Arial" w:eastAsia="Times New Roman" w:hAnsi="Arial" w:cs="Arial"/>
              </w:rPr>
            </w:pPr>
            <w:r w:rsidRPr="000D397F">
              <w:rPr>
                <w:rFonts w:ascii="Arial" w:eastAsia="Times New Roman" w:hAnsi="Arial" w:cs="Arial"/>
              </w:rPr>
              <w:t>Monitor LFT’s U&amp;E’s, creatinine, serum calcium, phosphate and magnesium, creatinine clearance every three months.</w:t>
            </w:r>
          </w:p>
          <w:p w14:paraId="6FA77A09" w14:textId="77777777" w:rsidR="00044B66"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Monitoring toxicity and reporting adverse events.</w:t>
            </w:r>
          </w:p>
          <w:p w14:paraId="0701AF72" w14:textId="77777777" w:rsidR="00044B66" w:rsidRPr="008841A5" w:rsidRDefault="00044B66" w:rsidP="00760C44">
            <w:pPr>
              <w:autoSpaceDE w:val="0"/>
              <w:autoSpaceDN w:val="0"/>
              <w:adjustRightInd w:val="0"/>
              <w:rPr>
                <w:rFonts w:ascii="Arial" w:eastAsia="Times New Roman" w:hAnsi="Arial" w:cs="Arial"/>
              </w:rPr>
            </w:pPr>
            <w:r>
              <w:rPr>
                <w:rFonts w:ascii="Arial" w:eastAsia="Times New Roman" w:hAnsi="Arial" w:cs="Arial"/>
              </w:rPr>
              <w:t>R</w:t>
            </w:r>
            <w:r w:rsidRPr="000D397F">
              <w:rPr>
                <w:rFonts w:ascii="Arial" w:eastAsia="Times New Roman" w:hAnsi="Arial" w:cs="Arial"/>
              </w:rPr>
              <w:t xml:space="preserve">eport any serious adverse reaction to the </w:t>
            </w:r>
            <w:r>
              <w:rPr>
                <w:rFonts w:ascii="Arial" w:eastAsia="Times New Roman" w:hAnsi="Arial" w:cs="Arial"/>
              </w:rPr>
              <w:t>MHRA</w:t>
            </w:r>
            <w:r w:rsidRPr="000D397F">
              <w:rPr>
                <w:rFonts w:ascii="Arial" w:eastAsia="Times New Roman" w:hAnsi="Arial" w:cs="Arial"/>
              </w:rPr>
              <w:t xml:space="preserve"> and the referring consultant.</w:t>
            </w:r>
          </w:p>
          <w:p w14:paraId="66B46BC6"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Providing the patient with repeat prescriptions for ibandronate and calcium supplementation as appropriate</w:t>
            </w:r>
          </w:p>
          <w:p w14:paraId="32977016"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Referring for review if there are signs of disease progression.</w:t>
            </w:r>
          </w:p>
          <w:p w14:paraId="76B3B7B5" w14:textId="77777777" w:rsidR="00044B66" w:rsidRPr="008841A5"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Ensuring that all other medical professionals in the shared care team are kept informed of any changes in the patient’s circumstances.</w:t>
            </w:r>
          </w:p>
          <w:p w14:paraId="679B920A" w14:textId="77777777" w:rsidR="00044B66" w:rsidRDefault="00044B66" w:rsidP="00760C44">
            <w:pPr>
              <w:autoSpaceDE w:val="0"/>
              <w:autoSpaceDN w:val="0"/>
              <w:adjustRightInd w:val="0"/>
              <w:rPr>
                <w:rFonts w:ascii="Arial" w:eastAsia="Times New Roman" w:hAnsi="Arial" w:cs="Arial"/>
              </w:rPr>
            </w:pPr>
            <w:r w:rsidRPr="008841A5">
              <w:rPr>
                <w:rFonts w:ascii="Arial" w:eastAsia="Times New Roman" w:hAnsi="Arial" w:cs="Arial"/>
              </w:rPr>
              <w:t>Individual patients who require additional serum creatinine and calcium levels monitoring may be identified by the consultant.</w:t>
            </w:r>
          </w:p>
          <w:p w14:paraId="563E6A11" w14:textId="77777777" w:rsidR="00044B66" w:rsidRPr="008841A5" w:rsidRDefault="00044B66" w:rsidP="00760C44">
            <w:pPr>
              <w:autoSpaceDE w:val="0"/>
              <w:autoSpaceDN w:val="0"/>
              <w:adjustRightInd w:val="0"/>
              <w:rPr>
                <w:rFonts w:ascii="Arial" w:eastAsia="Times New Roman" w:hAnsi="Arial" w:cs="Arial"/>
              </w:rPr>
            </w:pPr>
            <w:r>
              <w:rPr>
                <w:rFonts w:ascii="Arial" w:eastAsia="Times New Roman" w:hAnsi="Arial" w:cs="Arial"/>
              </w:rPr>
              <w:t xml:space="preserve">Stop any repeat prescriptions for other bisphosphonates.  </w:t>
            </w:r>
          </w:p>
        </w:tc>
      </w:tr>
    </w:tbl>
    <w:p w14:paraId="18BC6242" w14:textId="77777777" w:rsidR="00044B66" w:rsidRPr="008841A5" w:rsidRDefault="00044B66" w:rsidP="00044B66">
      <w:pPr>
        <w:rPr>
          <w:rFonts w:ascii="Arial" w:eastAsia="Times New Roman" w:hAnsi="Arial" w:cs="Arial"/>
        </w:rPr>
      </w:pPr>
    </w:p>
    <w:p w14:paraId="0E1246CF" w14:textId="77777777" w:rsidR="00044B66" w:rsidRPr="008841A5" w:rsidRDefault="00044B66" w:rsidP="00044B66">
      <w:pPr>
        <w:rPr>
          <w:rFonts w:ascii="Arial" w:eastAsia="Times New Roman" w:hAnsi="Arial" w:cs="Arial"/>
        </w:rPr>
      </w:pPr>
    </w:p>
    <w:p w14:paraId="6E333BF4" w14:textId="77777777" w:rsidR="00044B66" w:rsidRPr="008841A5" w:rsidRDefault="00044B66" w:rsidP="00044B66">
      <w:pPr>
        <w:rPr>
          <w:rFonts w:ascii="Arial" w:eastAsia="Times New Roman" w:hAnsi="Arial" w:cs="Arial"/>
        </w:rPr>
      </w:pPr>
      <w:r w:rsidRPr="008841A5">
        <w:rPr>
          <w:rFonts w:ascii="Arial" w:eastAsia="Times New Roman" w:hAnsi="Arial" w:cs="Arial"/>
          <w:b/>
        </w:rPr>
        <w:lastRenderedPageBreak/>
        <w:t>Contact Details:</w:t>
      </w:r>
      <w:r w:rsidRPr="008841A5">
        <w:rPr>
          <w:rFonts w:ascii="Arial" w:eastAsia="Times New Roman" w:hAnsi="Arial" w:cs="Arial"/>
        </w:rPr>
        <w:tab/>
        <w:t xml:space="preserve">The Queen’s Centre for Oncology and </w:t>
      </w:r>
      <w:proofErr w:type="spellStart"/>
      <w:r w:rsidRPr="008841A5">
        <w:rPr>
          <w:rFonts w:ascii="Arial" w:eastAsia="Times New Roman" w:hAnsi="Arial" w:cs="Arial"/>
        </w:rPr>
        <w:t>Haematology</w:t>
      </w:r>
      <w:proofErr w:type="spellEnd"/>
    </w:p>
    <w:p w14:paraId="3E8FE7CB" w14:textId="77777777" w:rsidR="00044B66" w:rsidRPr="008841A5" w:rsidRDefault="00044B66" w:rsidP="00044B66">
      <w:pPr>
        <w:rPr>
          <w:rFonts w:ascii="Arial" w:eastAsia="Times New Roman" w:hAnsi="Arial" w:cs="Arial"/>
          <w:bCs/>
        </w:rPr>
      </w:pPr>
      <w:r w:rsidRPr="008841A5">
        <w:rPr>
          <w:rFonts w:ascii="Arial" w:eastAsia="Times New Roman" w:hAnsi="Arial" w:cs="Arial"/>
          <w:bCs/>
        </w:rPr>
        <w:t>During Office hours:</w:t>
      </w:r>
      <w:r w:rsidRPr="008841A5">
        <w:rPr>
          <w:rFonts w:ascii="Arial" w:eastAsia="Times New Roman" w:hAnsi="Arial" w:cs="Arial"/>
          <w:bCs/>
        </w:rPr>
        <w:tab/>
        <w:t>Tel: 01482 461098</w:t>
      </w:r>
      <w:r w:rsidRPr="008841A5">
        <w:rPr>
          <w:rFonts w:ascii="Arial" w:eastAsia="Times New Roman" w:hAnsi="Arial" w:cs="Arial"/>
          <w:bCs/>
        </w:rPr>
        <w:tab/>
      </w:r>
    </w:p>
    <w:p w14:paraId="31BC1CCE" w14:textId="77777777" w:rsidR="00044B66" w:rsidRPr="008841A5" w:rsidRDefault="00044B66" w:rsidP="00044B66">
      <w:pPr>
        <w:rPr>
          <w:rFonts w:ascii="Arial" w:eastAsia="Times New Roman" w:hAnsi="Arial" w:cs="Arial"/>
        </w:rPr>
      </w:pPr>
      <w:r w:rsidRPr="008841A5">
        <w:rPr>
          <w:rFonts w:ascii="Arial" w:eastAsia="Times New Roman" w:hAnsi="Arial" w:cs="Arial"/>
          <w:bCs/>
        </w:rPr>
        <w:t>Out of hours</w:t>
      </w:r>
      <w:r w:rsidRPr="008841A5">
        <w:rPr>
          <w:rFonts w:ascii="Arial" w:eastAsia="Times New Roman" w:hAnsi="Arial" w:cs="Arial"/>
        </w:rPr>
        <w:t>:</w:t>
      </w:r>
      <w:r w:rsidRPr="008841A5">
        <w:rPr>
          <w:rFonts w:ascii="Times New Roman" w:eastAsia="Times New Roman" w:hAnsi="Times New Roman" w:cs="Times New Roman"/>
        </w:rPr>
        <w:t xml:space="preserve"> </w:t>
      </w:r>
      <w:r w:rsidRPr="008841A5">
        <w:rPr>
          <w:rFonts w:ascii="Times New Roman" w:eastAsia="Times New Roman" w:hAnsi="Times New Roman" w:cs="Times New Roman"/>
        </w:rPr>
        <w:tab/>
      </w:r>
      <w:r w:rsidRPr="008841A5">
        <w:rPr>
          <w:rFonts w:ascii="Times New Roman" w:eastAsia="Times New Roman" w:hAnsi="Times New Roman" w:cs="Times New Roman"/>
        </w:rPr>
        <w:tab/>
      </w:r>
      <w:r w:rsidRPr="008841A5">
        <w:rPr>
          <w:rFonts w:ascii="Arial" w:eastAsia="Times New Roman" w:hAnsi="Arial" w:cs="Arial"/>
        </w:rPr>
        <w:t xml:space="preserve">Ward 32 </w:t>
      </w:r>
      <w:r w:rsidRPr="008841A5">
        <w:rPr>
          <w:rFonts w:ascii="Arial" w:eastAsia="Times New Roman" w:hAnsi="Arial" w:cs="Arial"/>
        </w:rPr>
        <w:tab/>
        <w:t>Tel: 01482 461019</w:t>
      </w:r>
    </w:p>
    <w:p w14:paraId="18A9DE4F" w14:textId="77777777" w:rsidR="00044B66" w:rsidRPr="008841A5" w:rsidRDefault="00044B66" w:rsidP="00044B66">
      <w:pPr>
        <w:rPr>
          <w:rFonts w:ascii="Arial" w:eastAsia="Times New Roman" w:hAnsi="Arial" w:cs="Arial"/>
        </w:rPr>
      </w:pPr>
    </w:p>
    <w:p w14:paraId="47C23D83" w14:textId="77777777" w:rsidR="00044B66" w:rsidRPr="008841A5" w:rsidRDefault="00044B66" w:rsidP="00044B66">
      <w:pPr>
        <w:rPr>
          <w:rFonts w:ascii="Arial" w:eastAsia="Times New Roman" w:hAnsi="Arial" w:cs="Arial"/>
        </w:rPr>
      </w:pPr>
    </w:p>
    <w:p w14:paraId="01BEA901" w14:textId="77777777" w:rsidR="00044B66" w:rsidRPr="008841A5" w:rsidRDefault="00044B66" w:rsidP="00044B66">
      <w:pPr>
        <w:rPr>
          <w:rFonts w:ascii="Arial" w:eastAsia="Times New Roman" w:hAnsi="Arial" w:cs="Arial"/>
          <w:b/>
          <w:sz w:val="24"/>
          <w:szCs w:val="24"/>
        </w:rPr>
      </w:pPr>
      <w:r w:rsidRPr="008841A5">
        <w:rPr>
          <w:rFonts w:ascii="Arial" w:eastAsia="Times New Roman" w:hAnsi="Arial" w:cs="Arial"/>
          <w:b/>
          <w:sz w:val="24"/>
          <w:szCs w:val="24"/>
        </w:rPr>
        <w:t>APPROVAL PROCESS</w:t>
      </w:r>
    </w:p>
    <w:p w14:paraId="0A6639BF" w14:textId="77777777" w:rsidR="00044B66" w:rsidRPr="008841A5" w:rsidRDefault="00044B66" w:rsidP="00044B66">
      <w:pPr>
        <w:rPr>
          <w:rFonts w:ascii="Arial" w:eastAsia="Times New Roman" w:hAnsi="Arial" w:cs="Arial"/>
          <w:sz w:val="24"/>
          <w:szCs w:val="24"/>
        </w:rPr>
      </w:pPr>
    </w:p>
    <w:tbl>
      <w:tblPr>
        <w:tblStyle w:val="TableGrid"/>
        <w:tblW w:w="8748" w:type="dxa"/>
        <w:tblLook w:val="01E0" w:firstRow="1" w:lastRow="1" w:firstColumn="1" w:lastColumn="1" w:noHBand="0" w:noVBand="0"/>
      </w:tblPr>
      <w:tblGrid>
        <w:gridCol w:w="2853"/>
        <w:gridCol w:w="5895"/>
      </w:tblGrid>
      <w:tr w:rsidR="00044B66" w:rsidRPr="008841A5" w14:paraId="6DA63C55" w14:textId="77777777" w:rsidTr="00760C44">
        <w:tc>
          <w:tcPr>
            <w:tcW w:w="2853" w:type="dxa"/>
          </w:tcPr>
          <w:p w14:paraId="0EC21894" w14:textId="77777777" w:rsidR="00044B66" w:rsidRPr="008841A5" w:rsidRDefault="00044B66" w:rsidP="00760C44">
            <w:pPr>
              <w:rPr>
                <w:rFonts w:ascii="Arial" w:hAnsi="Arial" w:cs="Arial"/>
                <w:b/>
                <w:sz w:val="24"/>
                <w:szCs w:val="24"/>
              </w:rPr>
            </w:pPr>
            <w:r w:rsidRPr="008841A5">
              <w:rPr>
                <w:rFonts w:ascii="Arial" w:hAnsi="Arial" w:cs="Arial"/>
                <w:b/>
                <w:sz w:val="24"/>
                <w:szCs w:val="24"/>
              </w:rPr>
              <w:t>Written by:</w:t>
            </w:r>
          </w:p>
        </w:tc>
        <w:tc>
          <w:tcPr>
            <w:tcW w:w="5895" w:type="dxa"/>
          </w:tcPr>
          <w:p w14:paraId="4735951C" w14:textId="77777777" w:rsidR="00044B66" w:rsidRPr="008841A5" w:rsidRDefault="00044B66" w:rsidP="00760C44">
            <w:pPr>
              <w:rPr>
                <w:rFonts w:ascii="Arial" w:hAnsi="Arial" w:cs="Arial"/>
                <w:b/>
                <w:sz w:val="24"/>
                <w:szCs w:val="24"/>
              </w:rPr>
            </w:pPr>
            <w:r w:rsidRPr="008841A5">
              <w:rPr>
                <w:rFonts w:ascii="Arial" w:hAnsi="Arial" w:cs="Arial"/>
                <w:b/>
                <w:sz w:val="24"/>
                <w:szCs w:val="24"/>
              </w:rPr>
              <w:t>Mar</w:t>
            </w:r>
            <w:r>
              <w:rPr>
                <w:rFonts w:ascii="Arial" w:hAnsi="Arial" w:cs="Arial"/>
                <w:b/>
                <w:sz w:val="24"/>
                <w:szCs w:val="24"/>
              </w:rPr>
              <w:t xml:space="preserve">ian </w:t>
            </w:r>
            <w:proofErr w:type="spellStart"/>
            <w:r>
              <w:rPr>
                <w:rFonts w:ascii="Arial" w:hAnsi="Arial" w:cs="Arial"/>
                <w:b/>
                <w:sz w:val="24"/>
                <w:szCs w:val="24"/>
              </w:rPr>
              <w:t>Opuku-Fofie</w:t>
            </w:r>
            <w:proofErr w:type="spellEnd"/>
            <w:r>
              <w:rPr>
                <w:rFonts w:ascii="Arial" w:hAnsi="Arial" w:cs="Arial"/>
                <w:b/>
                <w:sz w:val="24"/>
                <w:szCs w:val="24"/>
              </w:rPr>
              <w:t>; updated Jane Morgan Interface Pharmacist</w:t>
            </w:r>
          </w:p>
        </w:tc>
      </w:tr>
      <w:tr w:rsidR="00044B66" w:rsidRPr="008841A5" w14:paraId="3662512E" w14:textId="77777777" w:rsidTr="00760C44">
        <w:tc>
          <w:tcPr>
            <w:tcW w:w="2853" w:type="dxa"/>
          </w:tcPr>
          <w:p w14:paraId="1D657348" w14:textId="77777777" w:rsidR="00044B66" w:rsidRPr="008841A5" w:rsidRDefault="00044B66" w:rsidP="00760C44">
            <w:pPr>
              <w:rPr>
                <w:rFonts w:ascii="Arial" w:hAnsi="Arial" w:cs="Arial"/>
                <w:b/>
                <w:sz w:val="24"/>
                <w:szCs w:val="24"/>
              </w:rPr>
            </w:pPr>
            <w:r w:rsidRPr="008841A5">
              <w:rPr>
                <w:rFonts w:ascii="Arial" w:hAnsi="Arial" w:cs="Arial"/>
                <w:b/>
                <w:sz w:val="24"/>
                <w:szCs w:val="24"/>
              </w:rPr>
              <w:t>Consultation process:</w:t>
            </w:r>
          </w:p>
        </w:tc>
        <w:tc>
          <w:tcPr>
            <w:tcW w:w="5895" w:type="dxa"/>
          </w:tcPr>
          <w:p w14:paraId="580441EF" w14:textId="77777777" w:rsidR="00044B66" w:rsidRPr="008841A5" w:rsidRDefault="00044B66" w:rsidP="00760C44">
            <w:pPr>
              <w:rPr>
                <w:rFonts w:ascii="Arial" w:hAnsi="Arial" w:cs="Arial"/>
                <w:b/>
                <w:sz w:val="24"/>
                <w:szCs w:val="24"/>
              </w:rPr>
            </w:pPr>
            <w:r w:rsidRPr="008841A5">
              <w:rPr>
                <w:rFonts w:ascii="Arial" w:hAnsi="Arial" w:cs="Arial"/>
                <w:b/>
                <w:sz w:val="24"/>
                <w:szCs w:val="24"/>
              </w:rPr>
              <w:t>Breast Cancer Network Site Specific Group</w:t>
            </w:r>
          </w:p>
        </w:tc>
      </w:tr>
      <w:tr w:rsidR="00044B66" w:rsidRPr="008841A5" w14:paraId="5A0F3BAC" w14:textId="77777777" w:rsidTr="00760C44">
        <w:tc>
          <w:tcPr>
            <w:tcW w:w="2853" w:type="dxa"/>
          </w:tcPr>
          <w:p w14:paraId="74D12601" w14:textId="77777777" w:rsidR="00044B66" w:rsidRPr="008841A5" w:rsidRDefault="00044B66" w:rsidP="00760C44">
            <w:pPr>
              <w:rPr>
                <w:rFonts w:ascii="Arial" w:hAnsi="Arial" w:cs="Arial"/>
                <w:b/>
                <w:sz w:val="24"/>
                <w:szCs w:val="24"/>
              </w:rPr>
            </w:pPr>
            <w:r w:rsidRPr="008841A5">
              <w:rPr>
                <w:rFonts w:ascii="Arial" w:hAnsi="Arial" w:cs="Arial"/>
                <w:b/>
                <w:sz w:val="24"/>
                <w:szCs w:val="24"/>
              </w:rPr>
              <w:t>Approved by:</w:t>
            </w:r>
          </w:p>
        </w:tc>
        <w:tc>
          <w:tcPr>
            <w:tcW w:w="5895" w:type="dxa"/>
          </w:tcPr>
          <w:p w14:paraId="16ABDB78" w14:textId="77777777" w:rsidR="00044B66" w:rsidRPr="008841A5" w:rsidRDefault="00044B66" w:rsidP="00760C44">
            <w:pPr>
              <w:rPr>
                <w:rFonts w:ascii="Arial" w:hAnsi="Arial" w:cs="Arial"/>
                <w:b/>
                <w:sz w:val="24"/>
                <w:szCs w:val="24"/>
              </w:rPr>
            </w:pPr>
            <w:r>
              <w:rPr>
                <w:rFonts w:ascii="Arial" w:hAnsi="Arial" w:cs="Arial"/>
                <w:b/>
                <w:sz w:val="24"/>
                <w:szCs w:val="24"/>
              </w:rPr>
              <w:t>MMIG</w:t>
            </w:r>
            <w:r w:rsidRPr="008841A5">
              <w:rPr>
                <w:rFonts w:ascii="Arial" w:hAnsi="Arial" w:cs="Arial"/>
                <w:b/>
                <w:sz w:val="24"/>
                <w:szCs w:val="24"/>
              </w:rPr>
              <w:t xml:space="preserve"> Feb 2010</w:t>
            </w:r>
          </w:p>
        </w:tc>
      </w:tr>
      <w:tr w:rsidR="00044B66" w:rsidRPr="008841A5" w14:paraId="18437B77" w14:textId="77777777" w:rsidTr="00760C44">
        <w:tc>
          <w:tcPr>
            <w:tcW w:w="2853" w:type="dxa"/>
          </w:tcPr>
          <w:p w14:paraId="15710E5A" w14:textId="77777777" w:rsidR="00044B66" w:rsidRPr="008841A5" w:rsidRDefault="00044B66" w:rsidP="00760C44">
            <w:pPr>
              <w:rPr>
                <w:rFonts w:ascii="Arial" w:hAnsi="Arial" w:cs="Arial"/>
                <w:b/>
                <w:sz w:val="24"/>
                <w:szCs w:val="24"/>
              </w:rPr>
            </w:pPr>
            <w:r w:rsidRPr="008841A5">
              <w:rPr>
                <w:rFonts w:ascii="Arial" w:hAnsi="Arial" w:cs="Arial"/>
                <w:b/>
                <w:sz w:val="24"/>
                <w:szCs w:val="24"/>
              </w:rPr>
              <w:t>Ratified by:</w:t>
            </w:r>
          </w:p>
        </w:tc>
        <w:tc>
          <w:tcPr>
            <w:tcW w:w="5895" w:type="dxa"/>
          </w:tcPr>
          <w:p w14:paraId="2D405682" w14:textId="77777777" w:rsidR="00044B66" w:rsidRPr="008841A5" w:rsidRDefault="00044B66" w:rsidP="00760C44">
            <w:pPr>
              <w:rPr>
                <w:rFonts w:ascii="Arial" w:hAnsi="Arial" w:cs="Arial"/>
                <w:b/>
                <w:sz w:val="24"/>
                <w:szCs w:val="24"/>
              </w:rPr>
            </w:pPr>
            <w:r>
              <w:rPr>
                <w:rFonts w:ascii="Arial" w:hAnsi="Arial" w:cs="Arial"/>
                <w:b/>
                <w:sz w:val="24"/>
                <w:szCs w:val="24"/>
              </w:rPr>
              <w:t>HERPC</w:t>
            </w:r>
            <w:r w:rsidRPr="008841A5">
              <w:rPr>
                <w:rFonts w:ascii="Arial" w:hAnsi="Arial" w:cs="Arial"/>
                <w:b/>
                <w:sz w:val="24"/>
                <w:szCs w:val="24"/>
              </w:rPr>
              <w:t xml:space="preserve"> March 2010</w:t>
            </w:r>
            <w:r>
              <w:rPr>
                <w:rFonts w:ascii="Arial" w:hAnsi="Arial" w:cs="Arial"/>
                <w:b/>
                <w:sz w:val="24"/>
                <w:szCs w:val="24"/>
              </w:rPr>
              <w:t xml:space="preserve"> Updated June 2018; July 21</w:t>
            </w:r>
          </w:p>
        </w:tc>
      </w:tr>
      <w:tr w:rsidR="00044B66" w:rsidRPr="008841A5" w14:paraId="0E80B337" w14:textId="77777777" w:rsidTr="00760C44">
        <w:tc>
          <w:tcPr>
            <w:tcW w:w="2853" w:type="dxa"/>
          </w:tcPr>
          <w:p w14:paraId="6FE44D95" w14:textId="77777777" w:rsidR="00044B66" w:rsidRPr="008841A5" w:rsidRDefault="00044B66" w:rsidP="00760C44">
            <w:pPr>
              <w:rPr>
                <w:rFonts w:ascii="Arial" w:hAnsi="Arial" w:cs="Arial"/>
                <w:b/>
                <w:sz w:val="24"/>
                <w:szCs w:val="24"/>
              </w:rPr>
            </w:pPr>
            <w:r w:rsidRPr="008841A5">
              <w:rPr>
                <w:rFonts w:ascii="Arial" w:hAnsi="Arial" w:cs="Arial"/>
                <w:b/>
                <w:sz w:val="24"/>
                <w:szCs w:val="24"/>
              </w:rPr>
              <w:t>Review date:</w:t>
            </w:r>
          </w:p>
        </w:tc>
        <w:tc>
          <w:tcPr>
            <w:tcW w:w="5895" w:type="dxa"/>
          </w:tcPr>
          <w:p w14:paraId="248146AA" w14:textId="77777777" w:rsidR="00044B66" w:rsidRPr="008841A5" w:rsidRDefault="00044B66" w:rsidP="00760C44">
            <w:pPr>
              <w:rPr>
                <w:rFonts w:ascii="Arial" w:hAnsi="Arial" w:cs="Arial"/>
                <w:b/>
                <w:sz w:val="24"/>
                <w:szCs w:val="24"/>
              </w:rPr>
            </w:pPr>
            <w:r>
              <w:rPr>
                <w:rFonts w:ascii="Arial" w:hAnsi="Arial" w:cs="Arial"/>
                <w:b/>
                <w:sz w:val="24"/>
                <w:szCs w:val="24"/>
              </w:rPr>
              <w:t>July 24</w:t>
            </w:r>
          </w:p>
        </w:tc>
      </w:tr>
    </w:tbl>
    <w:p w14:paraId="7A67F515" w14:textId="77777777" w:rsidR="00044B66" w:rsidRDefault="00044B66" w:rsidP="00044B66"/>
    <w:p w14:paraId="01321800" w14:textId="77777777" w:rsidR="00044B66" w:rsidRDefault="00044B66" w:rsidP="00044B66">
      <w:pPr>
        <w:keepNext/>
        <w:jc w:val="center"/>
        <w:outlineLvl w:val="0"/>
        <w:rPr>
          <w:rFonts w:ascii="Arial" w:eastAsia="Arial Unicode MS" w:hAnsi="Arial" w:cs="Arial"/>
          <w:b/>
          <w:sz w:val="28"/>
          <w:szCs w:val="28"/>
        </w:rPr>
      </w:pPr>
      <w:r>
        <w:rPr>
          <w:rFonts w:ascii="Arial" w:hAnsi="Arial" w:cs="Arial"/>
        </w:rPr>
        <w:br w:type="page"/>
      </w:r>
    </w:p>
    <w:p w14:paraId="79CF64BB" w14:textId="77777777" w:rsidR="00044B66" w:rsidRPr="008841A5" w:rsidRDefault="00044B66" w:rsidP="00044B66">
      <w:pPr>
        <w:keepNext/>
        <w:jc w:val="center"/>
        <w:outlineLvl w:val="0"/>
        <w:rPr>
          <w:rFonts w:ascii="Arial" w:eastAsia="Times New Roman" w:hAnsi="Arial" w:cs="Arial"/>
          <w:b/>
        </w:rPr>
      </w:pPr>
      <w:r>
        <w:rPr>
          <w:rFonts w:ascii="Arial" w:eastAsia="Arial Unicode MS" w:hAnsi="Arial" w:cs="Arial"/>
          <w:b/>
          <w:sz w:val="28"/>
          <w:szCs w:val="28"/>
        </w:rPr>
        <w:lastRenderedPageBreak/>
        <w:t xml:space="preserve">Prescribing Framework for </w:t>
      </w:r>
      <w:proofErr w:type="spellStart"/>
      <w:r w:rsidRPr="00CE3748">
        <w:rPr>
          <w:rFonts w:ascii="Arial" w:eastAsia="Arial Unicode MS" w:hAnsi="Arial" w:cs="Arial"/>
          <w:b/>
          <w:sz w:val="28"/>
          <w:szCs w:val="28"/>
          <w:lang w:bidi="en-GB"/>
        </w:rPr>
        <w:t>Ibandronic</w:t>
      </w:r>
      <w:proofErr w:type="spellEnd"/>
      <w:r w:rsidRPr="00CE3748">
        <w:rPr>
          <w:rFonts w:ascii="Arial" w:eastAsia="Arial Unicode MS" w:hAnsi="Arial" w:cs="Arial"/>
          <w:b/>
          <w:sz w:val="28"/>
          <w:szCs w:val="28"/>
          <w:lang w:bidi="en-GB"/>
        </w:rPr>
        <w:t xml:space="preserve"> Acid 50mg tablets in post-menopausal women with breast cancer</w:t>
      </w:r>
    </w:p>
    <w:p w14:paraId="245844A2" w14:textId="77777777" w:rsidR="00044B66" w:rsidRPr="008841A5" w:rsidRDefault="00044B66" w:rsidP="00044B66">
      <w:pPr>
        <w:jc w:val="center"/>
        <w:rPr>
          <w:rFonts w:ascii="Arial" w:eastAsia="Times New Roman" w:hAnsi="Arial" w:cs="Arial"/>
          <w:b/>
        </w:rPr>
      </w:pPr>
    </w:p>
    <w:p w14:paraId="694DD30A" w14:textId="77777777" w:rsidR="00044B66" w:rsidRPr="008841A5" w:rsidRDefault="00044B66" w:rsidP="00044B66">
      <w:pPr>
        <w:jc w:val="center"/>
        <w:rPr>
          <w:rFonts w:ascii="Arial" w:eastAsia="Times New Roman" w:hAnsi="Arial" w:cs="Arial"/>
          <w:b/>
        </w:rPr>
      </w:pPr>
    </w:p>
    <w:p w14:paraId="69A61ED1" w14:textId="77777777" w:rsidR="00044B66" w:rsidRPr="008841A5" w:rsidRDefault="00044B66" w:rsidP="00044B66">
      <w:pPr>
        <w:keepNext/>
        <w:outlineLvl w:val="2"/>
        <w:rPr>
          <w:rFonts w:ascii="Arial" w:eastAsia="Arial Unicode MS" w:hAnsi="Arial" w:cs="Arial"/>
        </w:rPr>
      </w:pPr>
      <w:r w:rsidRPr="008841A5">
        <w:rPr>
          <w:rFonts w:ascii="Arial" w:eastAsia="Arial Unicode MS" w:hAnsi="Arial" w:cs="Arial"/>
        </w:rPr>
        <w:t xml:space="preserve">Patients </w:t>
      </w:r>
      <w:proofErr w:type="gramStart"/>
      <w:r w:rsidRPr="008841A5">
        <w:rPr>
          <w:rFonts w:ascii="Arial" w:eastAsia="Arial Unicode MS" w:hAnsi="Arial" w:cs="Arial"/>
        </w:rPr>
        <w:t>Name:…</w:t>
      </w:r>
      <w:proofErr w:type="gramEnd"/>
      <w:r w:rsidRPr="008841A5">
        <w:rPr>
          <w:rFonts w:ascii="Arial" w:eastAsia="Arial Unicode MS" w:hAnsi="Arial" w:cs="Arial"/>
        </w:rPr>
        <w:t>……………………… Unit Number: ………………</w:t>
      </w:r>
    </w:p>
    <w:p w14:paraId="24F91F41" w14:textId="77777777" w:rsidR="00044B66" w:rsidRPr="008841A5" w:rsidRDefault="00044B66" w:rsidP="00044B66">
      <w:pPr>
        <w:rPr>
          <w:rFonts w:ascii="Arial" w:eastAsia="Times New Roman" w:hAnsi="Arial" w:cs="Arial"/>
        </w:rPr>
      </w:pPr>
    </w:p>
    <w:p w14:paraId="0430C69A" w14:textId="77777777" w:rsidR="00044B66" w:rsidRPr="008841A5" w:rsidRDefault="00044B66" w:rsidP="00044B66">
      <w:pPr>
        <w:rPr>
          <w:rFonts w:ascii="Arial" w:eastAsia="Times New Roman" w:hAnsi="Arial" w:cs="Arial"/>
        </w:rPr>
      </w:pPr>
      <w:r w:rsidRPr="008841A5">
        <w:rPr>
          <w:rFonts w:ascii="Arial" w:eastAsia="Times New Roman" w:hAnsi="Arial" w:cs="Arial"/>
        </w:rPr>
        <w:t xml:space="preserve">Patients </w:t>
      </w:r>
      <w:proofErr w:type="gramStart"/>
      <w:r w:rsidRPr="008841A5">
        <w:rPr>
          <w:rFonts w:ascii="Arial" w:eastAsia="Times New Roman" w:hAnsi="Arial" w:cs="Arial"/>
        </w:rPr>
        <w:t>Address:…</w:t>
      </w:r>
      <w:proofErr w:type="gramEnd"/>
      <w:r w:rsidRPr="008841A5">
        <w:rPr>
          <w:rFonts w:ascii="Arial" w:eastAsia="Times New Roman" w:hAnsi="Arial" w:cs="Arial"/>
        </w:rPr>
        <w:t>……………………(Use addressograph sticker)</w:t>
      </w:r>
    </w:p>
    <w:p w14:paraId="5E3FA815" w14:textId="77777777" w:rsidR="00044B66" w:rsidRDefault="00044B66" w:rsidP="00044B66">
      <w:pPr>
        <w:rPr>
          <w:rFonts w:ascii="Arial" w:eastAsia="Times New Roman" w:hAnsi="Arial" w:cs="Arial"/>
        </w:rPr>
      </w:pPr>
    </w:p>
    <w:p w14:paraId="4B2018ED" w14:textId="77777777" w:rsidR="00044B66" w:rsidRDefault="00044B66" w:rsidP="00044B66">
      <w:pPr>
        <w:rPr>
          <w:rFonts w:ascii="Arial" w:eastAsia="Times New Roman" w:hAnsi="Arial" w:cs="Arial"/>
        </w:rPr>
      </w:pPr>
    </w:p>
    <w:p w14:paraId="29691A22" w14:textId="77777777" w:rsidR="00044B66" w:rsidRDefault="00044B66" w:rsidP="00044B66">
      <w:pPr>
        <w:rPr>
          <w:rFonts w:ascii="Arial" w:eastAsia="Times New Roman" w:hAnsi="Arial" w:cs="Arial"/>
        </w:rPr>
      </w:pPr>
    </w:p>
    <w:p w14:paraId="401C629E" w14:textId="77777777" w:rsidR="00044B66" w:rsidRPr="008841A5" w:rsidRDefault="00044B66" w:rsidP="00044B66">
      <w:pPr>
        <w:rPr>
          <w:rFonts w:ascii="Arial" w:eastAsia="Times New Roman" w:hAnsi="Arial" w:cs="Arial"/>
        </w:rPr>
      </w:pPr>
    </w:p>
    <w:p w14:paraId="1C002031" w14:textId="77777777" w:rsidR="00044B66" w:rsidRPr="008841A5" w:rsidRDefault="00044B66" w:rsidP="00044B66">
      <w:pPr>
        <w:rPr>
          <w:rFonts w:ascii="Arial" w:eastAsia="Times New Roman" w:hAnsi="Arial" w:cs="Arial"/>
        </w:rPr>
      </w:pPr>
    </w:p>
    <w:p w14:paraId="4BDFB4A4" w14:textId="77777777" w:rsidR="00044B66" w:rsidRPr="008841A5" w:rsidRDefault="00044B66" w:rsidP="00044B66">
      <w:pPr>
        <w:rPr>
          <w:rFonts w:ascii="Arial" w:eastAsia="Times New Roman" w:hAnsi="Arial" w:cs="Arial"/>
        </w:rPr>
      </w:pPr>
      <w:proofErr w:type="gramStart"/>
      <w:r w:rsidRPr="008841A5">
        <w:rPr>
          <w:rFonts w:ascii="Arial" w:eastAsia="Times New Roman" w:hAnsi="Arial" w:cs="Arial"/>
        </w:rPr>
        <w:t>G.P’s</w:t>
      </w:r>
      <w:proofErr w:type="gramEnd"/>
      <w:r w:rsidRPr="008841A5">
        <w:rPr>
          <w:rFonts w:ascii="Arial" w:eastAsia="Times New Roman" w:hAnsi="Arial" w:cs="Arial"/>
        </w:rPr>
        <w:t xml:space="preserve"> Name:……………………………………………………….……..</w:t>
      </w:r>
    </w:p>
    <w:p w14:paraId="6021E44C" w14:textId="77777777" w:rsidR="00044B66" w:rsidRPr="008841A5" w:rsidRDefault="00044B66" w:rsidP="00044B66">
      <w:pPr>
        <w:rPr>
          <w:rFonts w:ascii="Arial" w:eastAsia="Times New Roman" w:hAnsi="Arial" w:cs="Arial"/>
        </w:rPr>
      </w:pPr>
    </w:p>
    <w:p w14:paraId="0F4026F5" w14:textId="77777777" w:rsidR="00044B66" w:rsidRPr="008841A5" w:rsidRDefault="00044B66" w:rsidP="00044B66">
      <w:pPr>
        <w:rPr>
          <w:rFonts w:ascii="Arial" w:eastAsia="Times New Roman" w:hAnsi="Arial" w:cs="Arial"/>
          <w:b/>
        </w:rPr>
      </w:pPr>
    </w:p>
    <w:p w14:paraId="2B233556" w14:textId="77777777" w:rsidR="00044B66" w:rsidRPr="008841A5" w:rsidRDefault="00044B66" w:rsidP="00044B66">
      <w:pPr>
        <w:rPr>
          <w:rFonts w:ascii="Arial" w:eastAsia="Times New Roman" w:hAnsi="Arial" w:cs="Arial"/>
          <w:b/>
        </w:rPr>
      </w:pPr>
    </w:p>
    <w:p w14:paraId="00C1DDCB" w14:textId="77777777" w:rsidR="00044B66" w:rsidRPr="008841A5" w:rsidRDefault="00044B66" w:rsidP="00044B66">
      <w:pPr>
        <w:keepNext/>
        <w:outlineLvl w:val="1"/>
        <w:rPr>
          <w:rFonts w:ascii="Arial" w:eastAsia="Arial Unicode MS" w:hAnsi="Arial" w:cs="Arial"/>
          <w:b/>
        </w:rPr>
      </w:pPr>
      <w:r w:rsidRPr="008841A5">
        <w:rPr>
          <w:rFonts w:ascii="Arial" w:eastAsia="Arial Unicode MS" w:hAnsi="Arial" w:cs="Arial"/>
          <w:b/>
        </w:rPr>
        <w:t>Communication</w:t>
      </w:r>
    </w:p>
    <w:p w14:paraId="2866550B" w14:textId="77777777" w:rsidR="00044B66" w:rsidRDefault="00044B66" w:rsidP="00044B66">
      <w:pPr>
        <w:rPr>
          <w:rFonts w:ascii="Arial" w:eastAsia="Times New Roman" w:hAnsi="Arial" w:cs="Arial"/>
        </w:rPr>
      </w:pPr>
      <w:r w:rsidRPr="00AD5C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F00CA53" wp14:editId="0C5EB97B">
                <wp:simplePos x="0" y="0"/>
                <wp:positionH relativeFrom="column">
                  <wp:posOffset>-56515</wp:posOffset>
                </wp:positionH>
                <wp:positionV relativeFrom="paragraph">
                  <wp:posOffset>72390</wp:posOffset>
                </wp:positionV>
                <wp:extent cx="6762115" cy="2850515"/>
                <wp:effectExtent l="0" t="0" r="1968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50515"/>
                        </a:xfrm>
                        <a:prstGeom prst="rect">
                          <a:avLst/>
                        </a:prstGeom>
                        <a:solidFill>
                          <a:srgbClr val="FFFFFF"/>
                        </a:solidFill>
                        <a:ln w="9525">
                          <a:solidFill>
                            <a:srgbClr val="000000"/>
                          </a:solidFill>
                          <a:miter lim="800000"/>
                          <a:headEnd/>
                          <a:tailEnd/>
                        </a:ln>
                      </wps:spPr>
                      <wps:txbx>
                        <w:txbxContent>
                          <w:p w14:paraId="19809A07" w14:textId="77777777" w:rsidR="00044B66" w:rsidRPr="00621D17" w:rsidRDefault="00044B66" w:rsidP="00044B66">
                            <w:pPr>
                              <w:rPr>
                                <w:rFonts w:ascii="Arial" w:hAnsi="Arial" w:cs="Arial"/>
                              </w:rPr>
                            </w:pPr>
                            <w:r w:rsidRPr="00621D17">
                              <w:rPr>
                                <w:rFonts w:ascii="Arial" w:hAnsi="Arial" w:cs="Arial"/>
                              </w:rPr>
                              <w:t>We agree to treat this patient within this Prescribing Framework</w:t>
                            </w:r>
                          </w:p>
                          <w:p w14:paraId="75A1B59D" w14:textId="77777777" w:rsidR="00044B66" w:rsidRPr="00621D17" w:rsidRDefault="00044B66" w:rsidP="00044B66">
                            <w:pPr>
                              <w:rPr>
                                <w:rFonts w:ascii="Arial" w:hAnsi="Arial" w:cs="Arial"/>
                              </w:rPr>
                            </w:pPr>
                            <w:r w:rsidRPr="00621D17">
                              <w:rPr>
                                <w:rFonts w:ascii="Arial" w:hAnsi="Arial" w:cs="Arial"/>
                              </w:rPr>
                              <w:t xml:space="preserve">Specialist Prescriber’s Name…………………………………………     Prof Reg. No. </w:t>
                            </w:r>
                            <w:r>
                              <w:rPr>
                                <w:rFonts w:ascii="Arial" w:hAnsi="Arial" w:cs="Arial"/>
                              </w:rPr>
                              <w:t>……</w:t>
                            </w:r>
                          </w:p>
                          <w:p w14:paraId="57C13548" w14:textId="77777777" w:rsidR="00044B66" w:rsidRPr="00621D17" w:rsidRDefault="00044B66" w:rsidP="00044B66">
                            <w:pPr>
                              <w:rPr>
                                <w:rFonts w:ascii="Arial" w:hAnsi="Arial" w:cs="Arial"/>
                              </w:rPr>
                            </w:pPr>
                            <w:r w:rsidRPr="00621D17">
                              <w:rPr>
                                <w:rFonts w:ascii="Arial" w:hAnsi="Arial" w:cs="Arial"/>
                              </w:rPr>
                              <w:t xml:space="preserve">Specialist Prescriber’s Signature……………………………………      </w:t>
                            </w:r>
                            <w:proofErr w:type="gramStart"/>
                            <w:r w:rsidRPr="00621D17">
                              <w:rPr>
                                <w:rFonts w:ascii="Arial" w:hAnsi="Arial" w:cs="Arial"/>
                              </w:rPr>
                              <w:t>Date:…</w:t>
                            </w:r>
                            <w:proofErr w:type="gramEnd"/>
                            <w:r>
                              <w:rPr>
                                <w:rFonts w:ascii="Arial" w:hAnsi="Arial" w:cs="Arial"/>
                              </w:rPr>
                              <w:t>………………</w:t>
                            </w:r>
                          </w:p>
                          <w:p w14:paraId="2A25DEB4" w14:textId="77777777" w:rsidR="00044B66" w:rsidRDefault="00044B66" w:rsidP="00044B66">
                            <w:pPr>
                              <w:rPr>
                                <w:rFonts w:ascii="Arial" w:hAnsi="Arial" w:cs="Arial"/>
                                <w:i/>
                              </w:rPr>
                            </w:pPr>
                          </w:p>
                          <w:p w14:paraId="09DD672D" w14:textId="77777777" w:rsidR="00044B66" w:rsidRPr="00621D17" w:rsidRDefault="00044B66" w:rsidP="00044B66">
                            <w:pPr>
                              <w:rPr>
                                <w:rFonts w:ascii="Arial" w:hAnsi="Arial" w:cs="Arial"/>
                                <w:i/>
                              </w:rPr>
                            </w:pPr>
                            <w:r w:rsidRPr="00621D17">
                              <w:rPr>
                                <w:rFonts w:ascii="Arial" w:hAnsi="Arial" w:cs="Arial"/>
                                <w:i/>
                              </w:rPr>
                              <w:t xml:space="preserve">Where prescriber is </w:t>
                            </w:r>
                            <w:r w:rsidRPr="00621D17">
                              <w:rPr>
                                <w:rFonts w:ascii="Arial" w:hAnsi="Arial" w:cs="Arial"/>
                                <w:i/>
                                <w:u w:val="single"/>
                              </w:rPr>
                              <w:t>not</w:t>
                            </w:r>
                            <w:r w:rsidRPr="00621D17">
                              <w:rPr>
                                <w:rFonts w:ascii="Arial" w:hAnsi="Arial" w:cs="Arial"/>
                                <w:i/>
                              </w:rPr>
                              <w:t xml:space="preserve"> a consultant:</w:t>
                            </w:r>
                          </w:p>
                          <w:p w14:paraId="0DCBDD47" w14:textId="77777777" w:rsidR="00044B66" w:rsidRPr="00621D17" w:rsidRDefault="00044B66" w:rsidP="00044B66">
                            <w:pPr>
                              <w:rPr>
                                <w:rFonts w:ascii="Arial" w:hAnsi="Arial" w:cs="Arial"/>
                              </w:rPr>
                            </w:pPr>
                            <w:r w:rsidRPr="00621D17">
                              <w:rPr>
                                <w:rFonts w:ascii="Arial" w:hAnsi="Arial" w:cs="Arial"/>
                              </w:rPr>
                              <w:t xml:space="preserve">Consultant’s Name: …………………………………………………       GMC No </w:t>
                            </w:r>
                            <w:r>
                              <w:rPr>
                                <w:rFonts w:ascii="Arial" w:hAnsi="Arial" w:cs="Arial"/>
                              </w:rPr>
                              <w:t>…………….</w:t>
                            </w:r>
                          </w:p>
                          <w:p w14:paraId="60F49B8C" w14:textId="77777777" w:rsidR="00044B66" w:rsidRPr="00621D17" w:rsidRDefault="00044B66" w:rsidP="00044B66">
                            <w:pPr>
                              <w:rPr>
                                <w:rFonts w:ascii="Arial" w:hAnsi="Arial" w:cs="Arial"/>
                              </w:rPr>
                            </w:pPr>
                            <w:r w:rsidRPr="00621D17">
                              <w:rPr>
                                <w:rFonts w:ascii="Arial" w:hAnsi="Arial" w:cs="Arial"/>
                              </w:rPr>
                              <w:t xml:space="preserve">Consultant’s Signature ………………………….... ……………….       </w:t>
                            </w:r>
                            <w:proofErr w:type="gramStart"/>
                            <w:r w:rsidRPr="00621D17">
                              <w:rPr>
                                <w:rFonts w:ascii="Arial" w:hAnsi="Arial" w:cs="Arial"/>
                              </w:rPr>
                              <w:t>Date:</w:t>
                            </w:r>
                            <w:r>
                              <w:rPr>
                                <w:rFonts w:ascii="Arial" w:hAnsi="Arial" w:cs="Arial"/>
                              </w:rPr>
                              <w:t>…</w:t>
                            </w:r>
                            <w:proofErr w:type="gramEnd"/>
                            <w:r>
                              <w:rPr>
                                <w:rFonts w:ascii="Arial" w:hAnsi="Arial" w:cs="Arial"/>
                              </w:rPr>
                              <w:t>………………</w:t>
                            </w:r>
                          </w:p>
                          <w:p w14:paraId="230030E3" w14:textId="77777777" w:rsidR="00044B66" w:rsidRPr="00621D17" w:rsidRDefault="00044B66" w:rsidP="00044B66">
                            <w:pPr>
                              <w:rPr>
                                <w:rFonts w:ascii="Arial" w:hAnsi="Arial" w:cs="Arial"/>
                              </w:rPr>
                            </w:pPr>
                          </w:p>
                          <w:p w14:paraId="596044F0" w14:textId="77777777" w:rsidR="00044B66" w:rsidRPr="00621D17" w:rsidRDefault="00044B66" w:rsidP="00044B66">
                            <w:pPr>
                              <w:rPr>
                                <w:rFonts w:ascii="Arial" w:hAnsi="Arial" w:cs="Arial"/>
                              </w:rPr>
                            </w:pPr>
                            <w:r w:rsidRPr="00621D17">
                              <w:rPr>
                                <w:rFonts w:ascii="Arial" w:hAnsi="Arial" w:cs="Arial"/>
                              </w:rPr>
                              <w:t xml:space="preserve">GP’s </w:t>
                            </w:r>
                            <w:proofErr w:type="gramStart"/>
                            <w:r w:rsidRPr="00621D17">
                              <w:rPr>
                                <w:rFonts w:ascii="Arial" w:hAnsi="Arial" w:cs="Arial"/>
                              </w:rPr>
                              <w:t>Signature:…</w:t>
                            </w:r>
                            <w:proofErr w:type="gramEnd"/>
                            <w:r w:rsidRPr="00621D17">
                              <w:rPr>
                                <w:rFonts w:ascii="Arial" w:hAnsi="Arial" w:cs="Arial"/>
                              </w:rPr>
                              <w:t>…………………</w:t>
                            </w:r>
                            <w:r>
                              <w:rPr>
                                <w:rFonts w:ascii="Arial" w:hAnsi="Arial" w:cs="Arial"/>
                              </w:rPr>
                              <w:t xml:space="preserve">……………………………………   </w:t>
                            </w:r>
                            <w:proofErr w:type="gramStart"/>
                            <w:r>
                              <w:rPr>
                                <w:rFonts w:ascii="Arial" w:hAnsi="Arial" w:cs="Arial"/>
                              </w:rPr>
                              <w:t>Date:…</w:t>
                            </w:r>
                            <w:proofErr w:type="gramEnd"/>
                            <w:r>
                              <w:rPr>
                                <w:rFonts w:ascii="Arial" w:hAnsi="Arial" w:cs="Arial"/>
                              </w:rPr>
                              <w:t>………………</w:t>
                            </w:r>
                          </w:p>
                          <w:p w14:paraId="5D41882C" w14:textId="77777777" w:rsidR="00044B66" w:rsidRPr="00621D17" w:rsidRDefault="00044B66" w:rsidP="00044B66">
                            <w:pPr>
                              <w:rPr>
                                <w:rFonts w:ascii="Arial" w:hAnsi="Arial" w:cs="Arial"/>
                              </w:rPr>
                            </w:pPr>
                          </w:p>
                          <w:p w14:paraId="3611E9C9" w14:textId="77777777" w:rsidR="00044B66" w:rsidRPr="00621D17" w:rsidRDefault="00044B66" w:rsidP="00044B66">
                            <w:pPr>
                              <w:rPr>
                                <w:rFonts w:ascii="Arial" w:hAnsi="Arial" w:cs="Arial"/>
                              </w:rPr>
                            </w:pPr>
                            <w:r w:rsidRPr="00621D17">
                              <w:rPr>
                                <w:rFonts w:ascii="Arial" w:hAnsi="Arial" w:cs="Arial"/>
                              </w:rPr>
                              <w:t xml:space="preserve">GP’s Name (if different from listed </w:t>
                            </w:r>
                            <w:proofErr w:type="gramStart"/>
                            <w:r w:rsidRPr="00621D17">
                              <w:rPr>
                                <w:rFonts w:ascii="Arial" w:hAnsi="Arial" w:cs="Arial"/>
                              </w:rPr>
                              <w:t>above)…</w:t>
                            </w:r>
                            <w:proofErr w:type="gramEnd"/>
                            <w:r w:rsidRPr="00621D17">
                              <w:rPr>
                                <w:rFonts w:ascii="Arial" w:hAnsi="Arial" w:cs="Arial"/>
                              </w:rPr>
                              <w:t>………………………..</w:t>
                            </w:r>
                          </w:p>
                          <w:p w14:paraId="684289C7" w14:textId="77777777" w:rsidR="00044B66" w:rsidRPr="00621D17" w:rsidRDefault="00044B66" w:rsidP="00044B6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0CA53" id="_x0000_s1028" type="#_x0000_t202" style="position:absolute;margin-left:-4.45pt;margin-top:5.7pt;width:532.45pt;height:2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">
                <v:textbox>
                  <w:txbxContent>
                    <w:p w14:paraId="19809A07" w14:textId="77777777" w:rsidR="00044B66" w:rsidRPr="00621D17" w:rsidRDefault="00044B66" w:rsidP="00044B66">
                      <w:pPr>
                        <w:rPr>
                          <w:rFonts w:ascii="Arial" w:hAnsi="Arial" w:cs="Arial"/>
                        </w:rPr>
                      </w:pPr>
                      <w:r w:rsidRPr="00621D17">
                        <w:rPr>
                          <w:rFonts w:ascii="Arial" w:hAnsi="Arial" w:cs="Arial"/>
                        </w:rPr>
                        <w:t>We agree to treat this patient within this Prescribing Framework</w:t>
                      </w:r>
                    </w:p>
                    <w:p w14:paraId="75A1B59D" w14:textId="77777777" w:rsidR="00044B66" w:rsidRPr="00621D17" w:rsidRDefault="00044B66" w:rsidP="00044B66">
                      <w:pPr>
                        <w:rPr>
                          <w:rFonts w:ascii="Arial" w:hAnsi="Arial" w:cs="Arial"/>
                        </w:rPr>
                      </w:pPr>
                      <w:r w:rsidRPr="00621D17">
                        <w:rPr>
                          <w:rFonts w:ascii="Arial" w:hAnsi="Arial" w:cs="Arial"/>
                        </w:rPr>
                        <w:t xml:space="preserve">Specialist Prescriber’s Name…………………………………………     Prof Reg. No. </w:t>
                      </w:r>
                      <w:r>
                        <w:rPr>
                          <w:rFonts w:ascii="Arial" w:hAnsi="Arial" w:cs="Arial"/>
                        </w:rPr>
                        <w:t>……</w:t>
                      </w:r>
                    </w:p>
                    <w:p w14:paraId="57C13548" w14:textId="77777777" w:rsidR="00044B66" w:rsidRPr="00621D17" w:rsidRDefault="00044B66" w:rsidP="00044B66">
                      <w:pPr>
                        <w:rPr>
                          <w:rFonts w:ascii="Arial" w:hAnsi="Arial" w:cs="Arial"/>
                        </w:rPr>
                      </w:pPr>
                      <w:r w:rsidRPr="00621D17">
                        <w:rPr>
                          <w:rFonts w:ascii="Arial" w:hAnsi="Arial" w:cs="Arial"/>
                        </w:rPr>
                        <w:t xml:space="preserve">Specialist Prescriber’s Signature……………………………………      </w:t>
                      </w:r>
                      <w:proofErr w:type="gramStart"/>
                      <w:r w:rsidRPr="00621D17">
                        <w:rPr>
                          <w:rFonts w:ascii="Arial" w:hAnsi="Arial" w:cs="Arial"/>
                        </w:rPr>
                        <w:t>Date:…</w:t>
                      </w:r>
                      <w:proofErr w:type="gramEnd"/>
                      <w:r>
                        <w:rPr>
                          <w:rFonts w:ascii="Arial" w:hAnsi="Arial" w:cs="Arial"/>
                        </w:rPr>
                        <w:t>………………</w:t>
                      </w:r>
                    </w:p>
                    <w:p w14:paraId="2A25DEB4" w14:textId="77777777" w:rsidR="00044B66" w:rsidRDefault="00044B66" w:rsidP="00044B66">
                      <w:pPr>
                        <w:rPr>
                          <w:rFonts w:ascii="Arial" w:hAnsi="Arial" w:cs="Arial"/>
                          <w:i/>
                        </w:rPr>
                      </w:pPr>
                    </w:p>
                    <w:p w14:paraId="09DD672D" w14:textId="77777777" w:rsidR="00044B66" w:rsidRPr="00621D17" w:rsidRDefault="00044B66" w:rsidP="00044B66">
                      <w:pPr>
                        <w:rPr>
                          <w:rFonts w:ascii="Arial" w:hAnsi="Arial" w:cs="Arial"/>
                          <w:i/>
                        </w:rPr>
                      </w:pPr>
                      <w:r w:rsidRPr="00621D17">
                        <w:rPr>
                          <w:rFonts w:ascii="Arial" w:hAnsi="Arial" w:cs="Arial"/>
                          <w:i/>
                        </w:rPr>
                        <w:t xml:space="preserve">Where prescriber is </w:t>
                      </w:r>
                      <w:r w:rsidRPr="00621D17">
                        <w:rPr>
                          <w:rFonts w:ascii="Arial" w:hAnsi="Arial" w:cs="Arial"/>
                          <w:i/>
                          <w:u w:val="single"/>
                        </w:rPr>
                        <w:t>not</w:t>
                      </w:r>
                      <w:r w:rsidRPr="00621D17">
                        <w:rPr>
                          <w:rFonts w:ascii="Arial" w:hAnsi="Arial" w:cs="Arial"/>
                          <w:i/>
                        </w:rPr>
                        <w:t xml:space="preserve"> a consultant:</w:t>
                      </w:r>
                    </w:p>
                    <w:p w14:paraId="0DCBDD47" w14:textId="77777777" w:rsidR="00044B66" w:rsidRPr="00621D17" w:rsidRDefault="00044B66" w:rsidP="00044B66">
                      <w:pPr>
                        <w:rPr>
                          <w:rFonts w:ascii="Arial" w:hAnsi="Arial" w:cs="Arial"/>
                        </w:rPr>
                      </w:pPr>
                      <w:r w:rsidRPr="00621D17">
                        <w:rPr>
                          <w:rFonts w:ascii="Arial" w:hAnsi="Arial" w:cs="Arial"/>
                        </w:rPr>
                        <w:t xml:space="preserve">Consultant’s Name: …………………………………………………       GMC No </w:t>
                      </w:r>
                      <w:r>
                        <w:rPr>
                          <w:rFonts w:ascii="Arial" w:hAnsi="Arial" w:cs="Arial"/>
                        </w:rPr>
                        <w:t>…………….</w:t>
                      </w:r>
                    </w:p>
                    <w:p w14:paraId="60F49B8C" w14:textId="77777777" w:rsidR="00044B66" w:rsidRPr="00621D17" w:rsidRDefault="00044B66" w:rsidP="00044B66">
                      <w:pPr>
                        <w:rPr>
                          <w:rFonts w:ascii="Arial" w:hAnsi="Arial" w:cs="Arial"/>
                        </w:rPr>
                      </w:pPr>
                      <w:r w:rsidRPr="00621D17">
                        <w:rPr>
                          <w:rFonts w:ascii="Arial" w:hAnsi="Arial" w:cs="Arial"/>
                        </w:rPr>
                        <w:t xml:space="preserve">Consultant’s Signature ………………………….... ……………….       </w:t>
                      </w:r>
                      <w:proofErr w:type="gramStart"/>
                      <w:r w:rsidRPr="00621D17">
                        <w:rPr>
                          <w:rFonts w:ascii="Arial" w:hAnsi="Arial" w:cs="Arial"/>
                        </w:rPr>
                        <w:t>Date:</w:t>
                      </w:r>
                      <w:r>
                        <w:rPr>
                          <w:rFonts w:ascii="Arial" w:hAnsi="Arial" w:cs="Arial"/>
                        </w:rPr>
                        <w:t>…</w:t>
                      </w:r>
                      <w:proofErr w:type="gramEnd"/>
                      <w:r>
                        <w:rPr>
                          <w:rFonts w:ascii="Arial" w:hAnsi="Arial" w:cs="Arial"/>
                        </w:rPr>
                        <w:t>………………</w:t>
                      </w:r>
                    </w:p>
                    <w:p w14:paraId="230030E3" w14:textId="77777777" w:rsidR="00044B66" w:rsidRPr="00621D17" w:rsidRDefault="00044B66" w:rsidP="00044B66">
                      <w:pPr>
                        <w:rPr>
                          <w:rFonts w:ascii="Arial" w:hAnsi="Arial" w:cs="Arial"/>
                        </w:rPr>
                      </w:pPr>
                    </w:p>
                    <w:p w14:paraId="596044F0" w14:textId="77777777" w:rsidR="00044B66" w:rsidRPr="00621D17" w:rsidRDefault="00044B66" w:rsidP="00044B66">
                      <w:pPr>
                        <w:rPr>
                          <w:rFonts w:ascii="Arial" w:hAnsi="Arial" w:cs="Arial"/>
                        </w:rPr>
                      </w:pPr>
                      <w:r w:rsidRPr="00621D17">
                        <w:rPr>
                          <w:rFonts w:ascii="Arial" w:hAnsi="Arial" w:cs="Arial"/>
                        </w:rPr>
                        <w:t xml:space="preserve">GP’s </w:t>
                      </w:r>
                      <w:proofErr w:type="gramStart"/>
                      <w:r w:rsidRPr="00621D17">
                        <w:rPr>
                          <w:rFonts w:ascii="Arial" w:hAnsi="Arial" w:cs="Arial"/>
                        </w:rPr>
                        <w:t>Signature:…</w:t>
                      </w:r>
                      <w:proofErr w:type="gramEnd"/>
                      <w:r w:rsidRPr="00621D17">
                        <w:rPr>
                          <w:rFonts w:ascii="Arial" w:hAnsi="Arial" w:cs="Arial"/>
                        </w:rPr>
                        <w:t>…………………</w:t>
                      </w:r>
                      <w:r>
                        <w:rPr>
                          <w:rFonts w:ascii="Arial" w:hAnsi="Arial" w:cs="Arial"/>
                        </w:rPr>
                        <w:t xml:space="preserve">……………………………………   </w:t>
                      </w:r>
                      <w:proofErr w:type="gramStart"/>
                      <w:r>
                        <w:rPr>
                          <w:rFonts w:ascii="Arial" w:hAnsi="Arial" w:cs="Arial"/>
                        </w:rPr>
                        <w:t>Date:…</w:t>
                      </w:r>
                      <w:proofErr w:type="gramEnd"/>
                      <w:r>
                        <w:rPr>
                          <w:rFonts w:ascii="Arial" w:hAnsi="Arial" w:cs="Arial"/>
                        </w:rPr>
                        <w:t>………………</w:t>
                      </w:r>
                    </w:p>
                    <w:p w14:paraId="5D41882C" w14:textId="77777777" w:rsidR="00044B66" w:rsidRPr="00621D17" w:rsidRDefault="00044B66" w:rsidP="00044B66">
                      <w:pPr>
                        <w:rPr>
                          <w:rFonts w:ascii="Arial" w:hAnsi="Arial" w:cs="Arial"/>
                        </w:rPr>
                      </w:pPr>
                    </w:p>
                    <w:p w14:paraId="3611E9C9" w14:textId="77777777" w:rsidR="00044B66" w:rsidRPr="00621D17" w:rsidRDefault="00044B66" w:rsidP="00044B66">
                      <w:pPr>
                        <w:rPr>
                          <w:rFonts w:ascii="Arial" w:hAnsi="Arial" w:cs="Arial"/>
                        </w:rPr>
                      </w:pPr>
                      <w:r w:rsidRPr="00621D17">
                        <w:rPr>
                          <w:rFonts w:ascii="Arial" w:hAnsi="Arial" w:cs="Arial"/>
                        </w:rPr>
                        <w:t xml:space="preserve">GP’s Name (if different from listed </w:t>
                      </w:r>
                      <w:proofErr w:type="gramStart"/>
                      <w:r w:rsidRPr="00621D17">
                        <w:rPr>
                          <w:rFonts w:ascii="Arial" w:hAnsi="Arial" w:cs="Arial"/>
                        </w:rPr>
                        <w:t>above)…</w:t>
                      </w:r>
                      <w:proofErr w:type="gramEnd"/>
                      <w:r w:rsidRPr="00621D17">
                        <w:rPr>
                          <w:rFonts w:ascii="Arial" w:hAnsi="Arial" w:cs="Arial"/>
                        </w:rPr>
                        <w:t>………………………..</w:t>
                      </w:r>
                    </w:p>
                    <w:p w14:paraId="684289C7" w14:textId="77777777" w:rsidR="00044B66" w:rsidRPr="00621D17" w:rsidRDefault="00044B66" w:rsidP="00044B66">
                      <w:pPr>
                        <w:rPr>
                          <w:rFonts w:ascii="Arial" w:hAnsi="Arial" w:cs="Arial"/>
                        </w:rPr>
                      </w:pPr>
                    </w:p>
                  </w:txbxContent>
                </v:textbox>
              </v:shape>
            </w:pict>
          </mc:Fallback>
        </mc:AlternateContent>
      </w:r>
    </w:p>
    <w:p w14:paraId="78D9457C" w14:textId="77777777" w:rsidR="00044B66" w:rsidRDefault="00044B66" w:rsidP="00044B66">
      <w:pPr>
        <w:rPr>
          <w:rFonts w:ascii="Arial" w:eastAsia="Times New Roman" w:hAnsi="Arial" w:cs="Arial"/>
        </w:rPr>
      </w:pPr>
    </w:p>
    <w:p w14:paraId="424B9E1F" w14:textId="77777777" w:rsidR="00044B66" w:rsidRDefault="00044B66" w:rsidP="00044B66">
      <w:pPr>
        <w:rPr>
          <w:rFonts w:ascii="Arial" w:eastAsia="Times New Roman" w:hAnsi="Arial" w:cs="Arial"/>
        </w:rPr>
      </w:pPr>
    </w:p>
    <w:p w14:paraId="69FDD510" w14:textId="77777777" w:rsidR="00044B66" w:rsidRDefault="00044B66" w:rsidP="00044B66">
      <w:pPr>
        <w:rPr>
          <w:rFonts w:ascii="Arial" w:eastAsia="Times New Roman" w:hAnsi="Arial" w:cs="Arial"/>
        </w:rPr>
      </w:pPr>
    </w:p>
    <w:p w14:paraId="49E3C3CB" w14:textId="77777777" w:rsidR="00044B66" w:rsidRDefault="00044B66" w:rsidP="00044B66">
      <w:pPr>
        <w:rPr>
          <w:rFonts w:ascii="Arial" w:eastAsia="Times New Roman" w:hAnsi="Arial" w:cs="Arial"/>
        </w:rPr>
      </w:pPr>
    </w:p>
    <w:p w14:paraId="41DB1BB0" w14:textId="77777777" w:rsidR="00044B66" w:rsidRDefault="00044B66" w:rsidP="00044B66">
      <w:pPr>
        <w:rPr>
          <w:rFonts w:ascii="Arial" w:eastAsia="Times New Roman" w:hAnsi="Arial" w:cs="Arial"/>
        </w:rPr>
      </w:pPr>
    </w:p>
    <w:p w14:paraId="0DC1F9B8" w14:textId="77777777" w:rsidR="00044B66" w:rsidRDefault="00044B66" w:rsidP="00044B66">
      <w:pPr>
        <w:rPr>
          <w:rFonts w:ascii="Arial" w:eastAsia="Times New Roman" w:hAnsi="Arial" w:cs="Arial"/>
        </w:rPr>
      </w:pPr>
    </w:p>
    <w:p w14:paraId="6595C5F5" w14:textId="77777777" w:rsidR="00044B66" w:rsidRDefault="00044B66" w:rsidP="00044B66">
      <w:pPr>
        <w:rPr>
          <w:rFonts w:ascii="Arial" w:eastAsia="Times New Roman" w:hAnsi="Arial" w:cs="Arial"/>
        </w:rPr>
      </w:pPr>
    </w:p>
    <w:p w14:paraId="3DD83819" w14:textId="77777777" w:rsidR="00044B66" w:rsidRDefault="00044B66" w:rsidP="00044B66">
      <w:pPr>
        <w:rPr>
          <w:rFonts w:ascii="Arial" w:eastAsia="Times New Roman" w:hAnsi="Arial" w:cs="Arial"/>
        </w:rPr>
      </w:pPr>
    </w:p>
    <w:p w14:paraId="2AECE6BB" w14:textId="77777777" w:rsidR="00044B66" w:rsidRDefault="00044B66" w:rsidP="00044B66">
      <w:pPr>
        <w:rPr>
          <w:rFonts w:ascii="Arial" w:eastAsia="Times New Roman" w:hAnsi="Arial" w:cs="Arial"/>
        </w:rPr>
      </w:pPr>
    </w:p>
    <w:p w14:paraId="5D5C70FE" w14:textId="77777777" w:rsidR="00044B66" w:rsidRDefault="00044B66" w:rsidP="00044B66">
      <w:pPr>
        <w:rPr>
          <w:rFonts w:ascii="Arial" w:eastAsia="Times New Roman" w:hAnsi="Arial" w:cs="Arial"/>
        </w:rPr>
      </w:pPr>
    </w:p>
    <w:p w14:paraId="3E67B10A" w14:textId="77777777" w:rsidR="00044B66" w:rsidRDefault="00044B66" w:rsidP="00044B66">
      <w:pPr>
        <w:rPr>
          <w:rFonts w:ascii="Arial" w:eastAsia="Times New Roman" w:hAnsi="Arial" w:cs="Arial"/>
        </w:rPr>
      </w:pPr>
    </w:p>
    <w:p w14:paraId="2AFFB4A3" w14:textId="77777777" w:rsidR="00044B66" w:rsidRDefault="00044B66" w:rsidP="00044B66">
      <w:pPr>
        <w:rPr>
          <w:rFonts w:ascii="Arial" w:eastAsia="Times New Roman" w:hAnsi="Arial" w:cs="Arial"/>
        </w:rPr>
      </w:pPr>
    </w:p>
    <w:p w14:paraId="2EC18930" w14:textId="77777777" w:rsidR="00044B66" w:rsidRPr="00AD5C11" w:rsidRDefault="00044B66" w:rsidP="00044B66">
      <w:pPr>
        <w:rPr>
          <w:rFonts w:ascii="Arial" w:eastAsia="Times New Roman" w:hAnsi="Arial" w:cs="Arial"/>
        </w:rPr>
      </w:pPr>
      <w:r w:rsidRPr="00AD5C11">
        <w:rPr>
          <w:rFonts w:ascii="Arial" w:eastAsia="Times New Roman" w:hAnsi="Arial" w:cs="Arial"/>
        </w:rPr>
        <w:t xml:space="preserve">The front page of this form should be completed by the specialist and the form sent to the patient’s general practitioner. </w:t>
      </w:r>
    </w:p>
    <w:p w14:paraId="51B8C436" w14:textId="77777777" w:rsidR="00044B66" w:rsidRDefault="00044B66" w:rsidP="00044B66">
      <w:pPr>
        <w:rPr>
          <w:rFonts w:ascii="Arial" w:eastAsia="Times New Roman" w:hAnsi="Arial" w:cs="Arial"/>
        </w:rPr>
      </w:pPr>
    </w:p>
    <w:p w14:paraId="384C3A49" w14:textId="77777777" w:rsidR="00044B66" w:rsidRPr="00AD5C11" w:rsidRDefault="00044B66" w:rsidP="00044B66">
      <w:pPr>
        <w:rPr>
          <w:rFonts w:ascii="Arial" w:eastAsia="Times New Roman" w:hAnsi="Arial" w:cs="Arial"/>
        </w:rPr>
      </w:pPr>
      <w:r w:rsidRPr="00AD5C11">
        <w:rPr>
          <w:rFonts w:ascii="Arial" w:eastAsia="Times New Roman" w:hAnsi="Arial" w:cs="Arial"/>
        </w:rPr>
        <w:t xml:space="preserve">The patient’s GP should sign and </w:t>
      </w:r>
      <w:r w:rsidRPr="00AD5C11">
        <w:rPr>
          <w:rFonts w:ascii="Arial" w:eastAsia="Times New Roman" w:hAnsi="Arial" w:cs="Arial"/>
          <w:b/>
        </w:rPr>
        <w:t>send back to specialist</w:t>
      </w:r>
      <w:r w:rsidRPr="00AD5C11">
        <w:rPr>
          <w:rFonts w:ascii="Arial" w:eastAsia="Times New Roman" w:hAnsi="Arial" w:cs="Arial"/>
        </w:rPr>
        <w:t xml:space="preserve">, to confirm agreement to </w:t>
      </w:r>
      <w:proofErr w:type="gramStart"/>
      <w:r w:rsidRPr="00AD5C11">
        <w:rPr>
          <w:rFonts w:ascii="Arial" w:eastAsia="Times New Roman" w:hAnsi="Arial" w:cs="Arial"/>
        </w:rPr>
        <w:t>enter into</w:t>
      </w:r>
      <w:proofErr w:type="gramEnd"/>
      <w:r w:rsidRPr="00AD5C11">
        <w:rPr>
          <w:rFonts w:ascii="Arial" w:eastAsia="Times New Roman" w:hAnsi="Arial" w:cs="Arial"/>
        </w:rPr>
        <w:t xml:space="preserve"> shared care arrangement. If the General Practitioner is </w:t>
      </w:r>
      <w:r w:rsidRPr="00AD5C11">
        <w:rPr>
          <w:rFonts w:ascii="Arial" w:eastAsia="Times New Roman" w:hAnsi="Arial" w:cs="Arial"/>
          <w:b/>
          <w:bCs/>
          <w:u w:val="single"/>
        </w:rPr>
        <w:t>unwilling</w:t>
      </w:r>
      <w:r w:rsidRPr="00AD5C11">
        <w:rPr>
          <w:rFonts w:ascii="Arial" w:eastAsia="Times New Roman" w:hAnsi="Arial" w:cs="Arial"/>
        </w:rPr>
        <w:t xml:space="preserve"> to accept prescribing responsibility for the above patient the specialist should be informed within two weeks of receipt of this framework and specialist’s letter.  </w:t>
      </w:r>
    </w:p>
    <w:p w14:paraId="5F64E739" w14:textId="77777777" w:rsidR="00044B66" w:rsidRDefault="00044B66" w:rsidP="00044B66">
      <w:pPr>
        <w:rPr>
          <w:rFonts w:ascii="Arial" w:eastAsia="Arial Unicode MS" w:hAnsi="Arial" w:cs="Arial"/>
          <w:b/>
        </w:rPr>
      </w:pPr>
      <w:r w:rsidRPr="00AD5C11">
        <w:rPr>
          <w:rFonts w:ascii="Arial" w:eastAsia="Times New Roman" w:hAnsi="Arial" w:cs="Arial"/>
        </w:rPr>
        <w:t xml:space="preserve"> </w:t>
      </w:r>
      <w:r w:rsidRPr="008841A5">
        <w:rPr>
          <w:rFonts w:ascii="Arial" w:eastAsia="Arial Unicode MS" w:hAnsi="Arial" w:cs="Arial"/>
          <w:b/>
        </w:rPr>
        <w:t>Background</w:t>
      </w:r>
    </w:p>
    <w:p w14:paraId="3D075458" w14:textId="77777777" w:rsidR="00044B66" w:rsidRPr="008841A5" w:rsidRDefault="00044B66" w:rsidP="00044B66">
      <w:pPr>
        <w:keepNext/>
        <w:outlineLvl w:val="1"/>
        <w:rPr>
          <w:rFonts w:ascii="Arial" w:eastAsia="Arial Unicode MS" w:hAnsi="Arial" w:cs="Arial"/>
          <w:b/>
        </w:rPr>
      </w:pPr>
    </w:p>
    <w:p w14:paraId="5D3B7741" w14:textId="77777777" w:rsidR="00044B66" w:rsidRPr="00BD0036" w:rsidRDefault="00044B66" w:rsidP="00044B66">
      <w:pPr>
        <w:jc w:val="both"/>
        <w:rPr>
          <w:rFonts w:ascii="Arial" w:eastAsia="Times New Roman" w:hAnsi="Arial" w:cs="Arial"/>
          <w:color w:val="000000"/>
          <w:lang w:bidi="en-GB"/>
        </w:rPr>
      </w:pPr>
      <w:r w:rsidRPr="00BD0036">
        <w:rPr>
          <w:rFonts w:ascii="Arial" w:eastAsia="Times New Roman" w:hAnsi="Arial" w:cs="Arial"/>
          <w:color w:val="000000"/>
          <w:lang w:bidi="en-GB"/>
        </w:rPr>
        <w:t xml:space="preserve">This </w:t>
      </w:r>
      <w:r>
        <w:rPr>
          <w:rFonts w:ascii="Arial" w:eastAsia="Times New Roman" w:hAnsi="Arial" w:cs="Arial"/>
          <w:color w:val="000000"/>
          <w:lang w:bidi="en-GB"/>
        </w:rPr>
        <w:t>document</w:t>
      </w:r>
      <w:r w:rsidRPr="00BD0036">
        <w:rPr>
          <w:rFonts w:ascii="Arial" w:eastAsia="Times New Roman" w:hAnsi="Arial" w:cs="Arial"/>
          <w:color w:val="000000"/>
          <w:lang w:bidi="en-GB"/>
        </w:rPr>
        <w:t xml:space="preserve"> has been written to support primary care clinicians in the management of post-menopausal women with breast cancer initiated on </w:t>
      </w:r>
      <w:proofErr w:type="spellStart"/>
      <w:r w:rsidRPr="00BD0036">
        <w:rPr>
          <w:rFonts w:ascii="Arial" w:eastAsia="Times New Roman" w:hAnsi="Arial" w:cs="Arial"/>
          <w:color w:val="000000"/>
          <w:lang w:bidi="en-GB"/>
        </w:rPr>
        <w:t>ibandronic</w:t>
      </w:r>
      <w:proofErr w:type="spellEnd"/>
      <w:r w:rsidRPr="00BD0036">
        <w:rPr>
          <w:rFonts w:ascii="Arial" w:eastAsia="Times New Roman" w:hAnsi="Arial" w:cs="Arial"/>
          <w:color w:val="000000"/>
          <w:lang w:bidi="en-GB"/>
        </w:rPr>
        <w:t xml:space="preserve"> acid 50mg by secondary care specialists to improve breast cancer survival. </w:t>
      </w:r>
      <w:proofErr w:type="spellStart"/>
      <w:r w:rsidRPr="00BD0036">
        <w:rPr>
          <w:rFonts w:ascii="Arial" w:eastAsia="Times New Roman" w:hAnsi="Arial" w:cs="Arial"/>
          <w:color w:val="000000"/>
          <w:lang w:bidi="en-GB"/>
        </w:rPr>
        <w:t>Ibandronic</w:t>
      </w:r>
      <w:proofErr w:type="spellEnd"/>
      <w:r w:rsidRPr="00BD0036">
        <w:rPr>
          <w:rFonts w:ascii="Arial" w:eastAsia="Times New Roman" w:hAnsi="Arial" w:cs="Arial"/>
          <w:color w:val="000000"/>
          <w:lang w:bidi="en-GB"/>
        </w:rPr>
        <w:t xml:space="preserve"> acid is unlicensed for this indication.</w:t>
      </w:r>
    </w:p>
    <w:p w14:paraId="4D5AD6CC" w14:textId="77777777" w:rsidR="00044B66" w:rsidRPr="00BD0036" w:rsidRDefault="00044B66" w:rsidP="00044B66">
      <w:pPr>
        <w:jc w:val="both"/>
        <w:rPr>
          <w:rFonts w:ascii="Arial" w:eastAsia="Times New Roman" w:hAnsi="Arial" w:cs="Arial"/>
          <w:b/>
          <w:color w:val="000000"/>
          <w:lang w:bidi="en-GB"/>
        </w:rPr>
      </w:pPr>
    </w:p>
    <w:p w14:paraId="30EF3650" w14:textId="77777777" w:rsidR="00044B66" w:rsidRPr="00BD0036" w:rsidRDefault="00044B66" w:rsidP="00044B66">
      <w:pPr>
        <w:jc w:val="both"/>
        <w:rPr>
          <w:rFonts w:ascii="Arial" w:eastAsia="Times New Roman" w:hAnsi="Arial" w:cs="Arial"/>
          <w:color w:val="000000"/>
          <w:lang w:bidi="en-GB"/>
        </w:rPr>
      </w:pPr>
      <w:r w:rsidRPr="00BD0036">
        <w:rPr>
          <w:rFonts w:ascii="Arial" w:eastAsia="Times New Roman" w:hAnsi="Arial" w:cs="Arial"/>
          <w:color w:val="000000"/>
          <w:lang w:bidi="en-GB"/>
        </w:rPr>
        <w:t>A large collaborative meta-analysis</w:t>
      </w:r>
      <w:r w:rsidRPr="00BD0036">
        <w:rPr>
          <w:rFonts w:ascii="Arial" w:eastAsia="Times New Roman" w:hAnsi="Arial" w:cs="Arial"/>
          <w:color w:val="000000"/>
          <w:vertAlign w:val="superscript"/>
          <w:lang w:bidi="en-GB"/>
        </w:rPr>
        <w:t>1</w:t>
      </w:r>
      <w:r w:rsidRPr="00BD0036">
        <w:rPr>
          <w:rFonts w:ascii="Arial" w:eastAsia="Times New Roman" w:hAnsi="Arial" w:cs="Arial"/>
          <w:color w:val="000000"/>
          <w:lang w:bidi="en-GB"/>
        </w:rPr>
        <w:t xml:space="preserve"> (involving 18,766 women of whom 11,767 were post-menopausal) found that for post-menopausal women with breast cancer adjuvant bisphosphonates reduced the rate of breast cancer recurrence and improved breast cancer survival.</w:t>
      </w:r>
    </w:p>
    <w:p w14:paraId="64036B9C" w14:textId="77777777" w:rsidR="00044B66" w:rsidRPr="00BD0036" w:rsidRDefault="00044B66" w:rsidP="00044B66">
      <w:pPr>
        <w:jc w:val="both"/>
        <w:rPr>
          <w:rFonts w:ascii="Arial" w:eastAsia="Times New Roman" w:hAnsi="Arial" w:cs="Arial"/>
          <w:color w:val="000000"/>
          <w:lang w:bidi="en-GB"/>
        </w:rPr>
      </w:pPr>
    </w:p>
    <w:p w14:paraId="724423A0" w14:textId="77777777" w:rsidR="00044B66" w:rsidRPr="00BD0036" w:rsidRDefault="00044B66" w:rsidP="00044B66">
      <w:pPr>
        <w:jc w:val="both"/>
        <w:rPr>
          <w:rFonts w:ascii="Arial" w:eastAsia="Times New Roman" w:hAnsi="Arial" w:cs="Arial"/>
          <w:color w:val="000000"/>
          <w:lang w:bidi="en-GB"/>
        </w:rPr>
      </w:pPr>
      <w:r w:rsidRPr="00BD0036">
        <w:rPr>
          <w:rFonts w:ascii="Arial" w:eastAsia="Times New Roman" w:hAnsi="Arial" w:cs="Arial"/>
          <w:color w:val="000000"/>
          <w:lang w:bidi="en-GB"/>
        </w:rPr>
        <w:t xml:space="preserve">The absolute reduction with bisphosphonate </w:t>
      </w:r>
      <w:proofErr w:type="gramStart"/>
      <w:r w:rsidRPr="00BD0036">
        <w:rPr>
          <w:rFonts w:ascii="Arial" w:eastAsia="Times New Roman" w:hAnsi="Arial" w:cs="Arial"/>
          <w:color w:val="000000"/>
          <w:lang w:bidi="en-GB"/>
        </w:rPr>
        <w:t>use</w:t>
      </w:r>
      <w:proofErr w:type="gramEnd"/>
      <w:r w:rsidRPr="00BD0036">
        <w:rPr>
          <w:rFonts w:ascii="Arial" w:eastAsia="Times New Roman" w:hAnsi="Arial" w:cs="Arial"/>
          <w:color w:val="000000"/>
          <w:lang w:bidi="en-GB"/>
        </w:rPr>
        <w:t xml:space="preserve"> in post-menopausal women at 10 years was 3.0% for breast cancer recurrence (from 25.8%); 3.4% for distant recurrence (from 21.2%); 2.2% for bone recurrence (from 8.8%); and 3.3% for breast cancer mortality (from 18.0%).</w:t>
      </w:r>
    </w:p>
    <w:p w14:paraId="3B1796CE" w14:textId="77777777" w:rsidR="00044B66" w:rsidRPr="00BD0036" w:rsidRDefault="00044B66" w:rsidP="00044B66">
      <w:pPr>
        <w:jc w:val="both"/>
        <w:rPr>
          <w:rFonts w:ascii="Arial" w:eastAsia="Times New Roman" w:hAnsi="Arial" w:cs="Arial"/>
          <w:color w:val="000000"/>
          <w:lang w:bidi="en-GB"/>
        </w:rPr>
      </w:pPr>
    </w:p>
    <w:p w14:paraId="1301230C" w14:textId="77777777" w:rsidR="00044B66" w:rsidRPr="00BD0036" w:rsidRDefault="00044B66" w:rsidP="00044B66">
      <w:pPr>
        <w:jc w:val="both"/>
        <w:rPr>
          <w:rFonts w:ascii="Arial" w:eastAsia="Times New Roman" w:hAnsi="Arial" w:cs="Arial"/>
          <w:color w:val="000000"/>
          <w:lang w:bidi="en-GB"/>
        </w:rPr>
      </w:pPr>
      <w:r w:rsidRPr="00BD0036">
        <w:rPr>
          <w:rFonts w:ascii="Arial" w:eastAsia="Times New Roman" w:hAnsi="Arial" w:cs="Arial"/>
          <w:color w:val="000000"/>
          <w:lang w:bidi="en-GB"/>
        </w:rPr>
        <w:lastRenderedPageBreak/>
        <w:t xml:space="preserve">This benefit was only seen with certain bisphosphonates including zoledronic acid IV 6 monthly and oral </w:t>
      </w:r>
      <w:proofErr w:type="spellStart"/>
      <w:r w:rsidRPr="00BD0036">
        <w:rPr>
          <w:rFonts w:ascii="Arial" w:eastAsia="Times New Roman" w:hAnsi="Arial" w:cs="Arial"/>
          <w:color w:val="000000"/>
          <w:lang w:bidi="en-GB"/>
        </w:rPr>
        <w:t>ibandronic</w:t>
      </w:r>
      <w:proofErr w:type="spellEnd"/>
      <w:r w:rsidRPr="00BD0036">
        <w:rPr>
          <w:rFonts w:ascii="Arial" w:eastAsia="Times New Roman" w:hAnsi="Arial" w:cs="Arial"/>
          <w:color w:val="000000"/>
          <w:lang w:bidi="en-GB"/>
        </w:rPr>
        <w:t xml:space="preserve"> acid 50mg daily. Numbers were insufficient to assess the efficacy of the standard treatments for osteoporosis, oral alendronate and risedronate, for this indication</w:t>
      </w:r>
      <w:r w:rsidRPr="00BD0036">
        <w:rPr>
          <w:rFonts w:ascii="Arial" w:eastAsia="Times New Roman" w:hAnsi="Arial" w:cs="Arial"/>
          <w:color w:val="000000"/>
          <w:vertAlign w:val="superscript"/>
          <w:lang w:bidi="en-GB"/>
        </w:rPr>
        <w:t>1</w:t>
      </w:r>
      <w:r w:rsidRPr="00BD0036">
        <w:rPr>
          <w:rFonts w:ascii="Arial" w:eastAsia="Times New Roman" w:hAnsi="Arial" w:cs="Arial"/>
          <w:color w:val="000000"/>
          <w:lang w:bidi="en-GB"/>
        </w:rPr>
        <w:t>.</w:t>
      </w:r>
    </w:p>
    <w:p w14:paraId="2DAA3E68" w14:textId="77777777" w:rsidR="00044B66" w:rsidRPr="00BD0036" w:rsidRDefault="00044B66" w:rsidP="00044B66">
      <w:pPr>
        <w:jc w:val="both"/>
        <w:rPr>
          <w:rFonts w:ascii="Arial" w:eastAsia="Times New Roman" w:hAnsi="Arial" w:cs="Arial"/>
          <w:color w:val="000000"/>
          <w:lang w:bidi="en-GB"/>
        </w:rPr>
      </w:pPr>
    </w:p>
    <w:p w14:paraId="7728D459" w14:textId="77777777" w:rsidR="00044B66" w:rsidRPr="00BD0036" w:rsidRDefault="00044B66" w:rsidP="00044B66">
      <w:pPr>
        <w:jc w:val="both"/>
        <w:rPr>
          <w:rFonts w:ascii="Arial" w:eastAsia="Times New Roman" w:hAnsi="Arial" w:cs="Arial"/>
          <w:color w:val="000000"/>
          <w:lang w:bidi="en-GB"/>
        </w:rPr>
      </w:pPr>
      <w:r w:rsidRPr="00BD0036">
        <w:rPr>
          <w:rFonts w:ascii="Arial" w:eastAsia="Times New Roman" w:hAnsi="Arial" w:cs="Arial"/>
          <w:color w:val="000000"/>
          <w:lang w:bidi="en-GB"/>
        </w:rPr>
        <w:t xml:space="preserve">None of the bisphosphonates are currently licensed for this indication. The ‘off </w:t>
      </w:r>
      <w:proofErr w:type="spellStart"/>
      <w:r w:rsidRPr="00BD0036">
        <w:rPr>
          <w:rFonts w:ascii="Arial" w:eastAsia="Times New Roman" w:hAnsi="Arial" w:cs="Arial"/>
          <w:color w:val="000000"/>
          <w:lang w:bidi="en-GB"/>
        </w:rPr>
        <w:t>licence</w:t>
      </w:r>
      <w:proofErr w:type="spellEnd"/>
      <w:r w:rsidRPr="00BD0036">
        <w:rPr>
          <w:rFonts w:ascii="Arial" w:eastAsia="Times New Roman" w:hAnsi="Arial" w:cs="Arial"/>
          <w:color w:val="000000"/>
          <w:lang w:bidi="en-GB"/>
        </w:rPr>
        <w:t xml:space="preserve">’ use of </w:t>
      </w:r>
      <w:proofErr w:type="spellStart"/>
      <w:r w:rsidRPr="00BD0036">
        <w:rPr>
          <w:rFonts w:ascii="Arial" w:eastAsia="Times New Roman" w:hAnsi="Arial" w:cs="Arial"/>
          <w:color w:val="000000"/>
          <w:lang w:bidi="en-GB"/>
        </w:rPr>
        <w:t>ibandronic</w:t>
      </w:r>
      <w:proofErr w:type="spellEnd"/>
      <w:r w:rsidRPr="00BD0036">
        <w:rPr>
          <w:rFonts w:ascii="Arial" w:eastAsia="Times New Roman" w:hAnsi="Arial" w:cs="Arial"/>
          <w:color w:val="000000"/>
          <w:lang w:bidi="en-GB"/>
        </w:rPr>
        <w:t xml:space="preserve"> acid 50mg tablets has been approved by the Drug and Therapeutics Committee at Hull and East Yorkshire Hospitals NHS Trust.</w:t>
      </w:r>
    </w:p>
    <w:p w14:paraId="74675FDA" w14:textId="77777777" w:rsidR="00044B66" w:rsidRPr="00BD0036" w:rsidRDefault="00044B66" w:rsidP="00044B66">
      <w:pPr>
        <w:jc w:val="both"/>
        <w:rPr>
          <w:rFonts w:ascii="Arial" w:eastAsia="Times New Roman" w:hAnsi="Arial" w:cs="Arial"/>
          <w:color w:val="000000"/>
          <w:lang w:bidi="en-GB"/>
        </w:rPr>
      </w:pPr>
    </w:p>
    <w:p w14:paraId="3CD52269" w14:textId="77777777" w:rsidR="00044B66" w:rsidRPr="00BD0036" w:rsidRDefault="00044B66" w:rsidP="00044B66">
      <w:pPr>
        <w:jc w:val="both"/>
        <w:rPr>
          <w:rFonts w:ascii="Arial" w:eastAsia="Times New Roman" w:hAnsi="Arial" w:cs="Arial"/>
          <w:color w:val="000000"/>
          <w:lang w:bidi="en-GB"/>
        </w:rPr>
      </w:pPr>
      <w:r w:rsidRPr="00BD0036">
        <w:rPr>
          <w:rFonts w:ascii="Arial" w:eastAsia="Times New Roman" w:hAnsi="Arial" w:cs="Arial"/>
          <w:color w:val="000000"/>
          <w:lang w:bidi="en-GB"/>
        </w:rPr>
        <w:t>There is clinical support for the introduction of bisphosphonates for this cohort of women</w:t>
      </w:r>
      <w:r w:rsidRPr="00BD0036">
        <w:rPr>
          <w:rFonts w:ascii="Arial" w:eastAsia="Times New Roman" w:hAnsi="Arial" w:cs="Arial"/>
          <w:color w:val="000000"/>
          <w:vertAlign w:val="superscript"/>
          <w:lang w:bidi="en-GB"/>
        </w:rPr>
        <w:t>2.</w:t>
      </w:r>
      <w:r w:rsidRPr="00BD0036">
        <w:rPr>
          <w:rFonts w:ascii="Arial" w:eastAsia="Times New Roman" w:hAnsi="Arial" w:cs="Arial"/>
          <w:color w:val="000000"/>
          <w:lang w:bidi="en-GB"/>
        </w:rPr>
        <w:t xml:space="preserve"> It is included in the breast cancer CRG service specification and endorsed as a priority for implementation at the UK Breast Cancer Meeting (UKBCM)</w:t>
      </w:r>
      <w:r w:rsidRPr="00BD0036">
        <w:rPr>
          <w:rFonts w:ascii="Arial" w:eastAsia="Times New Roman" w:hAnsi="Arial" w:cs="Arial"/>
          <w:color w:val="000000"/>
          <w:vertAlign w:val="superscript"/>
          <w:lang w:bidi="en-GB"/>
        </w:rPr>
        <w:t>3</w:t>
      </w:r>
      <w:r w:rsidRPr="00BD0036">
        <w:rPr>
          <w:rFonts w:ascii="Arial" w:eastAsia="Times New Roman" w:hAnsi="Arial" w:cs="Arial"/>
          <w:color w:val="000000"/>
          <w:lang w:bidi="en-GB"/>
        </w:rPr>
        <w:t xml:space="preserve"> in November 2015.</w:t>
      </w:r>
    </w:p>
    <w:p w14:paraId="5795E57E" w14:textId="77777777" w:rsidR="00044B66" w:rsidRPr="008841A5" w:rsidRDefault="00044B66" w:rsidP="00044B66">
      <w:pPr>
        <w:jc w:val="both"/>
        <w:rPr>
          <w:rFonts w:ascii="Arial" w:eastAsia="Times New Roman" w:hAnsi="Arial" w:cs="Arial"/>
        </w:rPr>
      </w:pPr>
    </w:p>
    <w:p w14:paraId="2C91FA53" w14:textId="77777777" w:rsidR="00044B66" w:rsidRPr="00AD5C11" w:rsidRDefault="00044B66" w:rsidP="00044B66">
      <w:pPr>
        <w:jc w:val="both"/>
        <w:rPr>
          <w:rFonts w:ascii="Arial" w:eastAsia="Times New Roman" w:hAnsi="Arial" w:cs="Arial"/>
          <w:bCs/>
        </w:rPr>
      </w:pPr>
      <w:r w:rsidRPr="008A374B">
        <w:rPr>
          <w:rFonts w:ascii="Arial" w:eastAsia="Times New Roman" w:hAnsi="Arial" w:cs="Arial"/>
        </w:rPr>
        <w:t>This document should be read in conjunction with the guidance “</w:t>
      </w:r>
      <w:r w:rsidRPr="008A374B">
        <w:rPr>
          <w:rFonts w:ascii="Arial" w:eastAsia="Times New Roman" w:hAnsi="Arial" w:cs="Arial"/>
          <w:bCs/>
        </w:rPr>
        <w:t xml:space="preserve">Responsibility for prescribing between Primary &amp; Secondary/Tertiary Care” </w:t>
      </w:r>
      <w:hyperlink r:id="rId11" w:history="1">
        <w:r w:rsidRPr="008A374B">
          <w:rPr>
            <w:rStyle w:val="Hyperlink"/>
            <w:rFonts w:ascii="Arial" w:eastAsia="Times New Roman" w:hAnsi="Arial" w:cs="Arial"/>
            <w:bCs/>
          </w:rPr>
          <w:t>https://www.england.nhs.uk/wp-content/uploads/2018/03/responsibility-prescribing-between-primary-secondary-care-v2.pdf</w:t>
        </w:r>
      </w:hyperlink>
    </w:p>
    <w:p w14:paraId="773D1D0A" w14:textId="77777777" w:rsidR="00044B66" w:rsidRPr="008841A5" w:rsidRDefault="00044B66" w:rsidP="00044B66">
      <w:pPr>
        <w:jc w:val="both"/>
        <w:rPr>
          <w:rFonts w:ascii="Arial" w:eastAsia="Times New Roman" w:hAnsi="Arial" w:cs="Arial"/>
        </w:rPr>
      </w:pPr>
    </w:p>
    <w:p w14:paraId="7E8FEF22" w14:textId="77777777" w:rsidR="00044B66" w:rsidRPr="008841A5" w:rsidRDefault="00044B66" w:rsidP="00044B66">
      <w:pPr>
        <w:keepNext/>
        <w:jc w:val="both"/>
        <w:outlineLvl w:val="1"/>
        <w:rPr>
          <w:rFonts w:ascii="Arial" w:eastAsia="Arial Unicode MS" w:hAnsi="Arial" w:cs="Arial"/>
          <w:b/>
        </w:rPr>
      </w:pPr>
      <w:r w:rsidRPr="008841A5">
        <w:rPr>
          <w:rFonts w:ascii="Arial" w:eastAsia="Arial Unicode MS" w:hAnsi="Arial" w:cs="Arial"/>
          <w:b/>
        </w:rPr>
        <w:t>2.  Indication</w:t>
      </w:r>
    </w:p>
    <w:p w14:paraId="72D5D7C5" w14:textId="77777777" w:rsidR="00044B66" w:rsidRDefault="00044B66" w:rsidP="00044B66">
      <w:pPr>
        <w:autoSpaceDE w:val="0"/>
        <w:autoSpaceDN w:val="0"/>
        <w:adjustRightInd w:val="0"/>
        <w:rPr>
          <w:rFonts w:ascii="Arial" w:eastAsia="Times New Roman" w:hAnsi="Arial" w:cs="Arial"/>
          <w:color w:val="000000"/>
          <w:lang w:bidi="en-GB"/>
        </w:rPr>
      </w:pPr>
    </w:p>
    <w:p w14:paraId="10C39A7A" w14:textId="77777777" w:rsidR="00044B66" w:rsidRPr="00BD0036" w:rsidRDefault="00044B66" w:rsidP="00044B66">
      <w:pPr>
        <w:autoSpaceDE w:val="0"/>
        <w:autoSpaceDN w:val="0"/>
        <w:adjustRightInd w:val="0"/>
        <w:rPr>
          <w:rFonts w:ascii="Arial" w:eastAsia="Times New Roman" w:hAnsi="Arial" w:cs="Arial"/>
          <w:color w:val="000000"/>
          <w:lang w:bidi="en-GB"/>
        </w:rPr>
      </w:pPr>
      <w:r w:rsidRPr="00BD0036">
        <w:rPr>
          <w:rFonts w:ascii="Arial" w:eastAsia="Times New Roman" w:hAnsi="Arial" w:cs="Arial"/>
          <w:color w:val="000000"/>
          <w:lang w:bidi="en-GB"/>
        </w:rPr>
        <w:t>Post-menopausal women with breast cancer who are assessed by a specialist to be at sufficient risk of breast cancer recurrence.</w:t>
      </w:r>
    </w:p>
    <w:p w14:paraId="3B0A022D" w14:textId="77777777" w:rsidR="00044B66" w:rsidRPr="008841A5" w:rsidRDefault="00044B66" w:rsidP="00044B66">
      <w:pPr>
        <w:autoSpaceDE w:val="0"/>
        <w:autoSpaceDN w:val="0"/>
        <w:adjustRightInd w:val="0"/>
        <w:rPr>
          <w:rFonts w:ascii="Arial" w:eastAsia="Times New Roman" w:hAnsi="Arial" w:cs="Arial"/>
          <w:color w:val="000000"/>
        </w:rPr>
      </w:pPr>
    </w:p>
    <w:p w14:paraId="0A02599C" w14:textId="77777777" w:rsidR="00044B66" w:rsidRPr="00BD0036" w:rsidRDefault="00044B66" w:rsidP="00241293">
      <w:pPr>
        <w:pStyle w:val="ListParagraph"/>
        <w:numPr>
          <w:ilvl w:val="0"/>
          <w:numId w:val="17"/>
        </w:numPr>
        <w:autoSpaceDE w:val="0"/>
        <w:autoSpaceDN w:val="0"/>
        <w:adjustRightInd w:val="0"/>
        <w:ind w:left="284" w:hanging="284"/>
        <w:rPr>
          <w:rFonts w:ascii="Arial" w:eastAsia="Times New Roman" w:hAnsi="Arial" w:cs="Arial"/>
          <w:b/>
          <w:bCs/>
          <w:color w:val="000000"/>
          <w:lang w:bidi="en-GB"/>
        </w:rPr>
      </w:pPr>
      <w:r w:rsidRPr="00BD0036">
        <w:rPr>
          <w:rFonts w:ascii="Arial" w:eastAsia="Times New Roman" w:hAnsi="Arial" w:cs="Arial"/>
          <w:b/>
          <w:bCs/>
          <w:color w:val="000000"/>
          <w:lang w:bidi="en-GB"/>
        </w:rPr>
        <w:t>Medication / Dosage / Duration of treatments</w:t>
      </w:r>
    </w:p>
    <w:p w14:paraId="1734604F" w14:textId="77777777" w:rsidR="00044B66" w:rsidRPr="00BD0036" w:rsidRDefault="00044B66" w:rsidP="00044B66">
      <w:pPr>
        <w:autoSpaceDE w:val="0"/>
        <w:autoSpaceDN w:val="0"/>
        <w:adjustRightInd w:val="0"/>
        <w:rPr>
          <w:rFonts w:ascii="Arial" w:eastAsia="Times New Roman" w:hAnsi="Arial" w:cs="Arial"/>
          <w:b/>
          <w:color w:val="000000"/>
          <w:lang w:bidi="en-GB"/>
        </w:rPr>
      </w:pPr>
    </w:p>
    <w:p w14:paraId="4F5F77BD" w14:textId="77777777" w:rsidR="00044B66" w:rsidRDefault="00044B66" w:rsidP="00044B66">
      <w:pPr>
        <w:autoSpaceDE w:val="0"/>
        <w:autoSpaceDN w:val="0"/>
        <w:adjustRightInd w:val="0"/>
        <w:rPr>
          <w:rFonts w:ascii="Arial" w:eastAsia="Times New Roman" w:hAnsi="Arial" w:cs="Arial"/>
          <w:color w:val="000000"/>
          <w:lang w:bidi="en-GB"/>
        </w:rPr>
      </w:pPr>
      <w:r>
        <w:rPr>
          <w:rFonts w:ascii="Arial" w:eastAsia="Times New Roman" w:hAnsi="Arial" w:cs="Arial"/>
          <w:color w:val="000000"/>
          <w:lang w:bidi="en-GB"/>
        </w:rPr>
        <w:t xml:space="preserve">The standard dose is </w:t>
      </w:r>
      <w:proofErr w:type="spellStart"/>
      <w:r>
        <w:rPr>
          <w:rFonts w:ascii="Arial" w:eastAsia="Times New Roman" w:hAnsi="Arial" w:cs="Arial"/>
          <w:color w:val="000000"/>
          <w:lang w:bidi="en-GB"/>
        </w:rPr>
        <w:t>ibandronic</w:t>
      </w:r>
      <w:proofErr w:type="spellEnd"/>
      <w:r>
        <w:rPr>
          <w:rFonts w:ascii="Arial" w:eastAsia="Times New Roman" w:hAnsi="Arial" w:cs="Arial"/>
          <w:color w:val="000000"/>
          <w:lang w:bidi="en-GB"/>
        </w:rPr>
        <w:t xml:space="preserve"> acid 50mg Once a Day for up to 3 years.</w:t>
      </w:r>
    </w:p>
    <w:p w14:paraId="1C815A9D" w14:textId="77777777" w:rsidR="00044B66" w:rsidRDefault="00044B66" w:rsidP="00044B66">
      <w:pPr>
        <w:autoSpaceDE w:val="0"/>
        <w:autoSpaceDN w:val="0"/>
        <w:adjustRightInd w:val="0"/>
        <w:rPr>
          <w:rFonts w:ascii="Arial" w:eastAsia="Times New Roman" w:hAnsi="Arial" w:cs="Arial"/>
          <w:color w:val="000000"/>
          <w:lang w:bidi="en-GB"/>
        </w:rPr>
      </w:pPr>
    </w:p>
    <w:p w14:paraId="297E016B" w14:textId="77777777" w:rsidR="00044B66" w:rsidRPr="002C0A80" w:rsidRDefault="00044B66" w:rsidP="00044B66">
      <w:pPr>
        <w:autoSpaceDE w:val="0"/>
        <w:autoSpaceDN w:val="0"/>
        <w:adjustRightInd w:val="0"/>
        <w:rPr>
          <w:rFonts w:ascii="Arial" w:eastAsia="Times New Roman" w:hAnsi="Arial" w:cs="Arial"/>
          <w:i/>
          <w:color w:val="000000"/>
          <w:lang w:bidi="en-GB"/>
        </w:rPr>
      </w:pPr>
      <w:r w:rsidRPr="002C0A80">
        <w:rPr>
          <w:rFonts w:ascii="Arial" w:eastAsia="Times New Roman" w:hAnsi="Arial" w:cs="Arial"/>
          <w:i/>
          <w:color w:val="000000"/>
          <w:lang w:bidi="en-GB"/>
        </w:rPr>
        <w:t>Dose Adjustment</w:t>
      </w:r>
    </w:p>
    <w:p w14:paraId="62092B2E" w14:textId="77777777" w:rsidR="00044B66" w:rsidRPr="00195928" w:rsidRDefault="00044B66" w:rsidP="00241293">
      <w:pPr>
        <w:pStyle w:val="ListParagraph"/>
        <w:numPr>
          <w:ilvl w:val="0"/>
          <w:numId w:val="10"/>
        </w:numPr>
        <w:autoSpaceDE w:val="0"/>
        <w:autoSpaceDN w:val="0"/>
        <w:adjustRightInd w:val="0"/>
        <w:rPr>
          <w:rFonts w:ascii="Arial" w:eastAsia="Times New Roman" w:hAnsi="Arial" w:cs="Arial"/>
          <w:color w:val="000000"/>
          <w:lang w:bidi="en-GB"/>
        </w:rPr>
      </w:pPr>
      <w:r w:rsidRPr="00195928">
        <w:rPr>
          <w:rFonts w:ascii="Arial" w:eastAsia="Times New Roman" w:hAnsi="Arial" w:cs="Arial"/>
          <w:color w:val="000000"/>
          <w:lang w:bidi="en-GB"/>
        </w:rPr>
        <w:t>Elderly population (&gt; 65 years): No dose adjustment is necessary</w:t>
      </w:r>
      <w:r w:rsidRPr="00195928">
        <w:rPr>
          <w:rFonts w:ascii="Arial" w:eastAsia="Times New Roman" w:hAnsi="Arial" w:cs="Arial"/>
          <w:color w:val="000000"/>
          <w:vertAlign w:val="superscript"/>
          <w:lang w:bidi="en-GB"/>
        </w:rPr>
        <w:t>4</w:t>
      </w:r>
      <w:r w:rsidRPr="00195928">
        <w:rPr>
          <w:rFonts w:ascii="Arial" w:eastAsia="Times New Roman" w:hAnsi="Arial" w:cs="Arial"/>
          <w:color w:val="000000"/>
          <w:lang w:bidi="en-GB"/>
        </w:rPr>
        <w:t xml:space="preserve"> </w:t>
      </w:r>
    </w:p>
    <w:p w14:paraId="14CA5E3A" w14:textId="77777777" w:rsidR="00044B66" w:rsidRDefault="00044B66" w:rsidP="00241293">
      <w:pPr>
        <w:numPr>
          <w:ilvl w:val="0"/>
          <w:numId w:val="8"/>
        </w:numPr>
        <w:autoSpaceDE w:val="0"/>
        <w:autoSpaceDN w:val="0"/>
        <w:adjustRightInd w:val="0"/>
        <w:rPr>
          <w:rFonts w:ascii="Arial" w:eastAsia="Times New Roman" w:hAnsi="Arial" w:cs="Arial"/>
          <w:color w:val="000000"/>
          <w:vertAlign w:val="superscript"/>
          <w:lang w:bidi="en-GB"/>
        </w:rPr>
      </w:pPr>
      <w:r w:rsidRPr="00195928">
        <w:rPr>
          <w:rFonts w:ascii="Arial" w:eastAsia="Times New Roman" w:hAnsi="Arial" w:cs="Arial"/>
          <w:color w:val="000000"/>
          <w:lang w:bidi="en-GB"/>
        </w:rPr>
        <w:t>Patients with hepatic impairment: No dose adjustment is required</w:t>
      </w:r>
      <w:r w:rsidRPr="00195928">
        <w:rPr>
          <w:rFonts w:ascii="Arial" w:eastAsia="Times New Roman" w:hAnsi="Arial" w:cs="Arial"/>
          <w:color w:val="000000"/>
          <w:vertAlign w:val="superscript"/>
          <w:lang w:bidi="en-GB"/>
        </w:rPr>
        <w:t xml:space="preserve">4 </w:t>
      </w:r>
    </w:p>
    <w:p w14:paraId="328D9ABB" w14:textId="77777777" w:rsidR="00044B66" w:rsidRPr="00195928" w:rsidRDefault="00044B66" w:rsidP="00241293">
      <w:pPr>
        <w:numPr>
          <w:ilvl w:val="0"/>
          <w:numId w:val="8"/>
        </w:numPr>
        <w:autoSpaceDE w:val="0"/>
        <w:autoSpaceDN w:val="0"/>
        <w:adjustRightInd w:val="0"/>
        <w:rPr>
          <w:rFonts w:ascii="Arial" w:eastAsia="Times New Roman" w:hAnsi="Arial" w:cs="Arial"/>
          <w:color w:val="000000"/>
          <w:vertAlign w:val="superscript"/>
          <w:lang w:bidi="en-GB"/>
        </w:rPr>
      </w:pPr>
      <w:r w:rsidRPr="00195928">
        <w:rPr>
          <w:rFonts w:ascii="Arial" w:eastAsia="Times New Roman" w:hAnsi="Arial" w:cs="Arial"/>
          <w:color w:val="000000"/>
          <w:lang w:bidi="en-GB"/>
        </w:rPr>
        <w:t>Patients with renal impairment</w:t>
      </w:r>
      <w:r w:rsidRPr="00195928">
        <w:rPr>
          <w:rFonts w:ascii="Arial" w:eastAsia="Times New Roman" w:hAnsi="Arial" w:cs="Arial"/>
          <w:color w:val="000000"/>
          <w:vertAlign w:val="superscript"/>
          <w:lang w:bidi="en-GB"/>
        </w:rPr>
        <w:t>4</w:t>
      </w:r>
    </w:p>
    <w:p w14:paraId="7D75D298" w14:textId="77777777" w:rsidR="00044B66" w:rsidRPr="00BD0036" w:rsidRDefault="00044B66" w:rsidP="00044B66">
      <w:pPr>
        <w:autoSpaceDE w:val="0"/>
        <w:autoSpaceDN w:val="0"/>
        <w:adjustRightInd w:val="0"/>
        <w:rPr>
          <w:rFonts w:ascii="Arial" w:eastAsia="Times New Roman" w:hAnsi="Arial" w:cs="Arial"/>
          <w:color w:val="000000"/>
          <w:lang w:bidi="en-GB"/>
        </w:rPr>
      </w:pPr>
    </w:p>
    <w:p w14:paraId="2C1D092E" w14:textId="77777777" w:rsidR="00044B66" w:rsidRPr="00BD0036" w:rsidRDefault="00044B66" w:rsidP="00241293">
      <w:pPr>
        <w:numPr>
          <w:ilvl w:val="0"/>
          <w:numId w:val="9"/>
        </w:numPr>
        <w:autoSpaceDE w:val="0"/>
        <w:autoSpaceDN w:val="0"/>
        <w:adjustRightInd w:val="0"/>
        <w:ind w:left="993" w:hanging="284"/>
        <w:rPr>
          <w:rFonts w:ascii="Arial" w:eastAsia="Times New Roman" w:hAnsi="Arial" w:cs="Arial"/>
          <w:color w:val="000000"/>
          <w:lang w:bidi="en-GB"/>
        </w:rPr>
      </w:pPr>
      <w:r w:rsidRPr="00BD0036">
        <w:rPr>
          <w:rFonts w:ascii="Arial" w:eastAsia="Times New Roman" w:hAnsi="Arial" w:cs="Arial"/>
          <w:color w:val="000000"/>
          <w:lang w:bidi="en-GB"/>
        </w:rPr>
        <w:t>For patients with mild renal impairment (</w:t>
      </w:r>
      <w:r>
        <w:rPr>
          <w:rFonts w:ascii="Arial" w:eastAsia="Times New Roman" w:hAnsi="Arial" w:cs="Arial"/>
          <w:color w:val="000000"/>
          <w:lang w:bidi="en-GB"/>
        </w:rPr>
        <w:t>eGFR/</w:t>
      </w:r>
      <w:proofErr w:type="spellStart"/>
      <w:r w:rsidRPr="00BD0036">
        <w:rPr>
          <w:rFonts w:ascii="Arial" w:eastAsia="Times New Roman" w:hAnsi="Arial" w:cs="Arial"/>
          <w:color w:val="000000"/>
          <w:lang w:bidi="en-GB"/>
        </w:rPr>
        <w:t>CrCl</w:t>
      </w:r>
      <w:proofErr w:type="spellEnd"/>
      <w:r w:rsidRPr="00BD0036">
        <w:rPr>
          <w:rFonts w:ascii="Arial" w:eastAsia="Times New Roman" w:hAnsi="Arial" w:cs="Arial"/>
          <w:color w:val="000000"/>
          <w:lang w:bidi="en-GB"/>
        </w:rPr>
        <w:t xml:space="preserve"> ≥ 50 and &lt; 80 mL/min), no dose adjustment is necessary</w:t>
      </w:r>
    </w:p>
    <w:p w14:paraId="70F5FC34" w14:textId="77777777" w:rsidR="00044B66" w:rsidRPr="00BD0036" w:rsidRDefault="00044B66" w:rsidP="00241293">
      <w:pPr>
        <w:numPr>
          <w:ilvl w:val="0"/>
          <w:numId w:val="9"/>
        </w:numPr>
        <w:autoSpaceDE w:val="0"/>
        <w:autoSpaceDN w:val="0"/>
        <w:adjustRightInd w:val="0"/>
        <w:ind w:left="993" w:hanging="284"/>
        <w:rPr>
          <w:rFonts w:ascii="Arial" w:eastAsia="Times New Roman" w:hAnsi="Arial" w:cs="Arial"/>
          <w:color w:val="000000"/>
          <w:lang w:bidi="en-GB"/>
        </w:rPr>
      </w:pPr>
      <w:r w:rsidRPr="00BD0036">
        <w:rPr>
          <w:rFonts w:ascii="Arial" w:eastAsia="Times New Roman" w:hAnsi="Arial" w:cs="Arial"/>
          <w:color w:val="000000"/>
          <w:lang w:bidi="en-GB"/>
        </w:rPr>
        <w:t>For patients with moderate renal impairment (</w:t>
      </w:r>
      <w:r>
        <w:rPr>
          <w:rFonts w:ascii="Arial" w:eastAsia="Times New Roman" w:hAnsi="Arial" w:cs="Arial"/>
          <w:color w:val="000000"/>
          <w:lang w:bidi="en-GB"/>
        </w:rPr>
        <w:t>eGFR/</w:t>
      </w:r>
      <w:proofErr w:type="spellStart"/>
      <w:r w:rsidRPr="00BD0036">
        <w:rPr>
          <w:rFonts w:ascii="Arial" w:eastAsia="Times New Roman" w:hAnsi="Arial" w:cs="Arial"/>
          <w:color w:val="000000"/>
          <w:lang w:bidi="en-GB"/>
        </w:rPr>
        <w:t>CrCl</w:t>
      </w:r>
      <w:proofErr w:type="spellEnd"/>
      <w:r w:rsidRPr="00BD0036">
        <w:rPr>
          <w:rFonts w:ascii="Arial" w:eastAsia="Times New Roman" w:hAnsi="Arial" w:cs="Arial"/>
          <w:color w:val="000000"/>
          <w:lang w:bidi="en-GB"/>
        </w:rPr>
        <w:t xml:space="preserve"> ≥ 30 and &lt; 50 mL/min) a dose adjustment to one 50mg tablet every second day is recommended</w:t>
      </w:r>
    </w:p>
    <w:p w14:paraId="27D95692" w14:textId="77777777" w:rsidR="00044B66" w:rsidRPr="00BD0036" w:rsidRDefault="00044B66" w:rsidP="00241293">
      <w:pPr>
        <w:numPr>
          <w:ilvl w:val="0"/>
          <w:numId w:val="9"/>
        </w:numPr>
        <w:autoSpaceDE w:val="0"/>
        <w:autoSpaceDN w:val="0"/>
        <w:adjustRightInd w:val="0"/>
        <w:ind w:left="993" w:hanging="284"/>
        <w:rPr>
          <w:rFonts w:ascii="Arial" w:eastAsia="Times New Roman" w:hAnsi="Arial" w:cs="Arial"/>
          <w:color w:val="000000"/>
          <w:lang w:bidi="en-GB"/>
        </w:rPr>
      </w:pPr>
      <w:r w:rsidRPr="00BD0036">
        <w:rPr>
          <w:rFonts w:ascii="Arial" w:eastAsia="Times New Roman" w:hAnsi="Arial" w:cs="Arial"/>
          <w:color w:val="000000"/>
          <w:lang w:bidi="en-GB"/>
        </w:rPr>
        <w:t>For patients with severe renal impairment (</w:t>
      </w:r>
      <w:r>
        <w:rPr>
          <w:rFonts w:ascii="Arial" w:eastAsia="Times New Roman" w:hAnsi="Arial" w:cs="Arial"/>
          <w:color w:val="000000"/>
          <w:lang w:bidi="en-GB"/>
        </w:rPr>
        <w:t>eGFR/</w:t>
      </w:r>
      <w:proofErr w:type="spellStart"/>
      <w:r w:rsidRPr="00BD0036">
        <w:rPr>
          <w:rFonts w:ascii="Arial" w:eastAsia="Times New Roman" w:hAnsi="Arial" w:cs="Arial"/>
          <w:color w:val="000000"/>
          <w:lang w:bidi="en-GB"/>
        </w:rPr>
        <w:t>CrCl</w:t>
      </w:r>
      <w:proofErr w:type="spellEnd"/>
      <w:r w:rsidRPr="00BD0036">
        <w:rPr>
          <w:rFonts w:ascii="Arial" w:eastAsia="Times New Roman" w:hAnsi="Arial" w:cs="Arial"/>
          <w:color w:val="000000"/>
          <w:lang w:bidi="en-GB"/>
        </w:rPr>
        <w:t xml:space="preserve"> &lt; 30 mL/min) a dose adjustment to one 50mg tablet once weekly is recommended</w:t>
      </w:r>
    </w:p>
    <w:p w14:paraId="57DAE64B" w14:textId="77777777" w:rsidR="00044B66" w:rsidRDefault="00044B66" w:rsidP="00044B66">
      <w:pPr>
        <w:autoSpaceDE w:val="0"/>
        <w:autoSpaceDN w:val="0"/>
        <w:adjustRightInd w:val="0"/>
        <w:rPr>
          <w:rFonts w:ascii="Arial" w:eastAsia="Times New Roman" w:hAnsi="Arial" w:cs="Arial"/>
          <w:color w:val="000000"/>
          <w:lang w:bidi="en-GB"/>
        </w:rPr>
      </w:pPr>
    </w:p>
    <w:p w14:paraId="03C1C17D" w14:textId="77777777" w:rsidR="00044B66" w:rsidRPr="00A65E0C" w:rsidRDefault="00044B66" w:rsidP="00044B66">
      <w:pPr>
        <w:autoSpaceDE w:val="0"/>
        <w:autoSpaceDN w:val="0"/>
        <w:adjustRightInd w:val="0"/>
        <w:rPr>
          <w:rFonts w:ascii="Arial" w:eastAsia="Times New Roman" w:hAnsi="Arial" w:cs="Arial"/>
          <w:color w:val="000000"/>
          <w:lang w:bidi="en-GB"/>
        </w:rPr>
      </w:pPr>
      <w:r w:rsidRPr="00A65E0C">
        <w:rPr>
          <w:rFonts w:ascii="Arial" w:eastAsia="Times New Roman" w:hAnsi="Arial" w:cs="Arial"/>
          <w:color w:val="000000"/>
          <w:lang w:bidi="en-GB"/>
        </w:rPr>
        <w:t>Zoledronic acid 4mg IV 6 monthly for 3 years</w:t>
      </w:r>
      <w:r>
        <w:rPr>
          <w:rFonts w:ascii="Arial" w:eastAsia="Times New Roman" w:hAnsi="Arial" w:cs="Arial"/>
          <w:color w:val="000000"/>
          <w:lang w:bidi="en-GB"/>
        </w:rPr>
        <w:t xml:space="preserve"> will be offered to patients where chemotherapy is planned and those unable to tolerate </w:t>
      </w:r>
      <w:proofErr w:type="spellStart"/>
      <w:r>
        <w:rPr>
          <w:rFonts w:ascii="Arial" w:eastAsia="Times New Roman" w:hAnsi="Arial" w:cs="Arial"/>
          <w:color w:val="000000"/>
          <w:lang w:bidi="en-GB"/>
        </w:rPr>
        <w:t>ibandronic</w:t>
      </w:r>
      <w:proofErr w:type="spellEnd"/>
      <w:r>
        <w:rPr>
          <w:rFonts w:ascii="Arial" w:eastAsia="Times New Roman" w:hAnsi="Arial" w:cs="Arial"/>
          <w:color w:val="000000"/>
          <w:lang w:bidi="en-GB"/>
        </w:rPr>
        <w:t xml:space="preserve"> acid tablets.</w:t>
      </w:r>
    </w:p>
    <w:p w14:paraId="3B287DA6" w14:textId="77777777" w:rsidR="00044B66" w:rsidRPr="00BD0036" w:rsidRDefault="00044B66" w:rsidP="00044B66">
      <w:pPr>
        <w:autoSpaceDE w:val="0"/>
        <w:autoSpaceDN w:val="0"/>
        <w:adjustRightInd w:val="0"/>
        <w:rPr>
          <w:rFonts w:ascii="Arial" w:eastAsia="Times New Roman" w:hAnsi="Arial" w:cs="Arial"/>
          <w:b/>
          <w:color w:val="000000"/>
          <w:u w:val="single"/>
          <w:lang w:bidi="en-GB"/>
        </w:rPr>
      </w:pPr>
    </w:p>
    <w:p w14:paraId="1B692DB6" w14:textId="77777777" w:rsidR="00044B66" w:rsidRPr="00BD0036" w:rsidRDefault="00044B66" w:rsidP="00044B66">
      <w:pPr>
        <w:autoSpaceDE w:val="0"/>
        <w:autoSpaceDN w:val="0"/>
        <w:adjustRightInd w:val="0"/>
        <w:rPr>
          <w:rFonts w:ascii="Arial" w:eastAsia="Times New Roman" w:hAnsi="Arial" w:cs="Arial"/>
          <w:color w:val="000000"/>
          <w:lang w:bidi="en-GB"/>
        </w:rPr>
      </w:pPr>
      <w:r w:rsidRPr="00BD0036">
        <w:rPr>
          <w:rFonts w:ascii="Arial" w:eastAsia="Times New Roman" w:hAnsi="Arial" w:cs="Arial"/>
          <w:b/>
          <w:color w:val="000000"/>
          <w:u w:val="single"/>
          <w:lang w:bidi="en-GB"/>
        </w:rPr>
        <w:t>NOTE:</w:t>
      </w:r>
      <w:r w:rsidRPr="00BD0036">
        <w:rPr>
          <w:rFonts w:ascii="Arial" w:eastAsia="Times New Roman" w:hAnsi="Arial" w:cs="Arial"/>
          <w:color w:val="000000"/>
          <w:lang w:bidi="en-GB"/>
        </w:rPr>
        <w:t xml:space="preserve"> Many laboratory results are expressed as eGFR. While it is likely that in many cases the eGFR and the </w:t>
      </w:r>
      <w:proofErr w:type="spellStart"/>
      <w:r w:rsidRPr="00BD0036">
        <w:rPr>
          <w:rFonts w:ascii="Arial" w:eastAsia="Times New Roman" w:hAnsi="Arial" w:cs="Arial"/>
          <w:color w:val="000000"/>
          <w:lang w:bidi="en-GB"/>
        </w:rPr>
        <w:t>CrCl</w:t>
      </w:r>
      <w:proofErr w:type="spellEnd"/>
      <w:r w:rsidRPr="00BD0036">
        <w:rPr>
          <w:rFonts w:ascii="Arial" w:eastAsia="Times New Roman" w:hAnsi="Arial" w:cs="Arial"/>
          <w:color w:val="000000"/>
          <w:lang w:bidi="en-GB"/>
        </w:rPr>
        <w:t xml:space="preserve"> will be very similar, beware </w:t>
      </w:r>
      <w:proofErr w:type="gramStart"/>
      <w:r w:rsidRPr="00BD0036">
        <w:rPr>
          <w:rFonts w:ascii="Arial" w:eastAsia="Times New Roman" w:hAnsi="Arial" w:cs="Arial"/>
          <w:color w:val="000000"/>
          <w:lang w:bidi="en-GB"/>
        </w:rPr>
        <w:t>that differences</w:t>
      </w:r>
      <w:proofErr w:type="gramEnd"/>
      <w:r w:rsidRPr="00BD0036">
        <w:rPr>
          <w:rFonts w:ascii="Arial" w:eastAsia="Times New Roman" w:hAnsi="Arial" w:cs="Arial"/>
          <w:color w:val="000000"/>
          <w:lang w:bidi="en-GB"/>
        </w:rPr>
        <w:t xml:space="preserve"> could occur in people at extremes of body size.</w:t>
      </w:r>
    </w:p>
    <w:p w14:paraId="2D0B61E1" w14:textId="77777777" w:rsidR="00044B66" w:rsidRPr="008841A5" w:rsidRDefault="00044B66" w:rsidP="00044B66">
      <w:pPr>
        <w:autoSpaceDE w:val="0"/>
        <w:autoSpaceDN w:val="0"/>
        <w:adjustRightInd w:val="0"/>
        <w:rPr>
          <w:rFonts w:ascii="Arial" w:eastAsia="Times New Roman" w:hAnsi="Arial" w:cs="Arial"/>
          <w:color w:val="000000"/>
        </w:rPr>
      </w:pPr>
    </w:p>
    <w:p w14:paraId="28B6C883" w14:textId="77777777" w:rsidR="00044B66" w:rsidRPr="002E2C92" w:rsidRDefault="00044B66" w:rsidP="00241293">
      <w:pPr>
        <w:pStyle w:val="ListParagraph"/>
        <w:numPr>
          <w:ilvl w:val="0"/>
          <w:numId w:val="17"/>
        </w:numPr>
        <w:ind w:left="426"/>
        <w:jc w:val="both"/>
        <w:rPr>
          <w:rFonts w:ascii="Arial" w:eastAsia="Times New Roman" w:hAnsi="Arial" w:cs="Arial"/>
          <w:b/>
          <w:bCs/>
        </w:rPr>
      </w:pPr>
      <w:r w:rsidRPr="002E2C92">
        <w:rPr>
          <w:rFonts w:ascii="Arial" w:eastAsia="Times New Roman" w:hAnsi="Arial" w:cs="Arial"/>
          <w:b/>
          <w:bCs/>
        </w:rPr>
        <w:t>Adverse effects</w:t>
      </w:r>
    </w:p>
    <w:p w14:paraId="0736FFEB" w14:textId="77777777" w:rsidR="00044B66" w:rsidRDefault="00044B66" w:rsidP="00044B66">
      <w:pPr>
        <w:autoSpaceDE w:val="0"/>
        <w:autoSpaceDN w:val="0"/>
        <w:adjustRightInd w:val="0"/>
        <w:rPr>
          <w:rFonts w:ascii="Arial" w:eastAsia="Times New Roman" w:hAnsi="Arial" w:cs="Arial"/>
          <w:color w:val="000000"/>
        </w:rPr>
      </w:pPr>
    </w:p>
    <w:p w14:paraId="640481EE" w14:textId="77777777" w:rsidR="00044B66" w:rsidRPr="00836EF3" w:rsidRDefault="00044B66" w:rsidP="00044B66">
      <w:pPr>
        <w:autoSpaceDE w:val="0"/>
        <w:autoSpaceDN w:val="0"/>
        <w:adjustRightInd w:val="0"/>
        <w:rPr>
          <w:rFonts w:ascii="Arial" w:eastAsia="Times New Roman" w:hAnsi="Arial" w:cs="Arial"/>
          <w:color w:val="000000"/>
          <w:lang w:bidi="en-GB"/>
        </w:rPr>
      </w:pPr>
      <w:r w:rsidRPr="00836EF3">
        <w:rPr>
          <w:rFonts w:ascii="Arial" w:eastAsia="Times New Roman" w:hAnsi="Arial" w:cs="Arial"/>
          <w:color w:val="000000"/>
          <w:lang w:bidi="en-GB"/>
        </w:rPr>
        <w:t xml:space="preserve">Full list of side effects / contraindications is given in the </w:t>
      </w:r>
      <w:proofErr w:type="spellStart"/>
      <w:r w:rsidRPr="00836EF3">
        <w:rPr>
          <w:rFonts w:ascii="Arial" w:eastAsia="Times New Roman" w:hAnsi="Arial" w:cs="Arial"/>
          <w:color w:val="000000"/>
          <w:lang w:bidi="en-GB"/>
        </w:rPr>
        <w:t>Ibandronic</w:t>
      </w:r>
      <w:proofErr w:type="spellEnd"/>
      <w:r w:rsidRPr="00836EF3">
        <w:rPr>
          <w:rFonts w:ascii="Arial" w:eastAsia="Times New Roman" w:hAnsi="Arial" w:cs="Arial"/>
          <w:color w:val="000000"/>
          <w:lang w:bidi="en-GB"/>
        </w:rPr>
        <w:t xml:space="preserve"> Acid 50mg tablets </w:t>
      </w:r>
      <w:r>
        <w:rPr>
          <w:rFonts w:ascii="Arial" w:eastAsia="Times New Roman" w:hAnsi="Arial" w:cs="Arial"/>
          <w:color w:val="000000"/>
          <w:lang w:bidi="en-GB"/>
        </w:rPr>
        <w:t>SPC</w:t>
      </w:r>
      <w:r w:rsidRPr="00836EF3">
        <w:rPr>
          <w:rFonts w:ascii="Arial" w:eastAsia="Times New Roman" w:hAnsi="Arial" w:cs="Arial"/>
          <w:color w:val="000000"/>
          <w:lang w:bidi="en-GB"/>
        </w:rPr>
        <w:t xml:space="preserve"> </w:t>
      </w:r>
      <w:hyperlink r:id="rId12" w:history="1">
        <w:r w:rsidRPr="00E504CC">
          <w:rPr>
            <w:rStyle w:val="Hyperlink"/>
            <w:rFonts w:ascii="Arial" w:eastAsia="Times New Roman" w:hAnsi="Arial" w:cs="Arial"/>
            <w:lang w:bidi="en-GB"/>
          </w:rPr>
          <w:t>www.emc.medicines.org.uk</w:t>
        </w:r>
      </w:hyperlink>
      <w:r>
        <w:rPr>
          <w:rFonts w:ascii="Arial" w:eastAsia="Times New Roman" w:hAnsi="Arial" w:cs="Arial"/>
          <w:color w:val="000000"/>
          <w:lang w:bidi="en-GB"/>
        </w:rPr>
        <w:t xml:space="preserve"> </w:t>
      </w:r>
    </w:p>
    <w:p w14:paraId="1BF98412" w14:textId="77777777" w:rsidR="00044B66" w:rsidRDefault="00044B66" w:rsidP="00044B66">
      <w:pPr>
        <w:autoSpaceDE w:val="0"/>
        <w:autoSpaceDN w:val="0"/>
        <w:adjustRightInd w:val="0"/>
        <w:rPr>
          <w:rFonts w:ascii="Arial" w:eastAsia="Times New Roman" w:hAnsi="Arial" w:cs="Arial"/>
          <w:i/>
          <w:color w:val="000000"/>
          <w:lang w:bidi="en-GB"/>
        </w:rPr>
      </w:pPr>
    </w:p>
    <w:p w14:paraId="4E4C5CA3" w14:textId="77777777" w:rsidR="00044B66" w:rsidRDefault="00044B66" w:rsidP="00044B66">
      <w:pPr>
        <w:autoSpaceDE w:val="0"/>
        <w:autoSpaceDN w:val="0"/>
        <w:adjustRightInd w:val="0"/>
        <w:rPr>
          <w:rFonts w:ascii="Arial" w:eastAsia="Times New Roman" w:hAnsi="Arial" w:cs="Arial"/>
          <w:color w:val="000000"/>
        </w:rPr>
      </w:pPr>
      <w:r w:rsidRPr="008841A5">
        <w:rPr>
          <w:rFonts w:ascii="Arial" w:eastAsia="Times New Roman" w:hAnsi="Arial" w:cs="Arial"/>
          <w:color w:val="000000"/>
        </w:rPr>
        <w:t>Oral bisphosphon</w:t>
      </w:r>
      <w:r>
        <w:rPr>
          <w:rFonts w:ascii="Arial" w:eastAsia="Times New Roman" w:hAnsi="Arial" w:cs="Arial"/>
          <w:color w:val="000000"/>
        </w:rPr>
        <w:t>ates have been associated with d</w:t>
      </w:r>
      <w:r w:rsidRPr="008841A5">
        <w:rPr>
          <w:rFonts w:ascii="Arial" w:eastAsia="Times New Roman" w:hAnsi="Arial" w:cs="Arial"/>
          <w:color w:val="000000"/>
        </w:rPr>
        <w:t>ysphagia</w:t>
      </w:r>
      <w:r>
        <w:rPr>
          <w:rFonts w:ascii="Arial" w:eastAsia="Times New Roman" w:hAnsi="Arial" w:cs="Arial"/>
          <w:color w:val="000000"/>
        </w:rPr>
        <w:t xml:space="preserve">, </w:t>
      </w:r>
      <w:proofErr w:type="spellStart"/>
      <w:r>
        <w:rPr>
          <w:rFonts w:ascii="Arial" w:eastAsia="Times New Roman" w:hAnsi="Arial" w:cs="Arial"/>
          <w:color w:val="000000"/>
        </w:rPr>
        <w:t>o</w:t>
      </w:r>
      <w:r w:rsidRPr="008841A5">
        <w:rPr>
          <w:rFonts w:ascii="Arial" w:eastAsia="Times New Roman" w:hAnsi="Arial" w:cs="Arial"/>
          <w:color w:val="000000"/>
        </w:rPr>
        <w:t>esophagitis</w:t>
      </w:r>
      <w:proofErr w:type="spellEnd"/>
      <w:r>
        <w:rPr>
          <w:rFonts w:ascii="Arial" w:eastAsia="Times New Roman" w:hAnsi="Arial" w:cs="Arial"/>
          <w:color w:val="000000"/>
        </w:rPr>
        <w:t xml:space="preserve"> and </w:t>
      </w:r>
      <w:proofErr w:type="spellStart"/>
      <w:r>
        <w:rPr>
          <w:rFonts w:ascii="Arial" w:eastAsia="Times New Roman" w:hAnsi="Arial" w:cs="Arial"/>
          <w:color w:val="000000"/>
        </w:rPr>
        <w:t>oesophageal</w:t>
      </w:r>
      <w:proofErr w:type="spellEnd"/>
      <w:r>
        <w:rPr>
          <w:rFonts w:ascii="Arial" w:eastAsia="Times New Roman" w:hAnsi="Arial" w:cs="Arial"/>
          <w:color w:val="000000"/>
        </w:rPr>
        <w:t xml:space="preserve"> or gastric ulcers.</w:t>
      </w:r>
    </w:p>
    <w:p w14:paraId="628AB899" w14:textId="77777777" w:rsidR="00044B66" w:rsidRPr="008841A5" w:rsidRDefault="00044B66" w:rsidP="00044B66">
      <w:pPr>
        <w:autoSpaceDE w:val="0"/>
        <w:autoSpaceDN w:val="0"/>
        <w:adjustRightInd w:val="0"/>
        <w:rPr>
          <w:rFonts w:ascii="Arial" w:eastAsia="Times New Roman" w:hAnsi="Arial" w:cs="Arial"/>
          <w:color w:val="000000"/>
        </w:rPr>
      </w:pPr>
    </w:p>
    <w:p w14:paraId="7ED8A82F" w14:textId="77777777" w:rsidR="00044B66" w:rsidRPr="00B44CEF" w:rsidRDefault="00044B66" w:rsidP="00044B66">
      <w:pPr>
        <w:jc w:val="both"/>
        <w:rPr>
          <w:rFonts w:ascii="Arial" w:eastAsia="Times New Roman" w:hAnsi="Arial" w:cs="Arial"/>
          <w:bCs/>
          <w:i/>
          <w:lang w:bidi="en-GB"/>
        </w:rPr>
      </w:pPr>
      <w:r w:rsidRPr="00B44CEF">
        <w:rPr>
          <w:rFonts w:ascii="Arial" w:eastAsia="Times New Roman" w:hAnsi="Arial" w:cs="Arial"/>
          <w:bCs/>
          <w:i/>
          <w:lang w:bidi="en-GB"/>
        </w:rPr>
        <w:t>Osteonecrosis of the jaw (MHRA warning):</w:t>
      </w:r>
    </w:p>
    <w:p w14:paraId="58B914C6" w14:textId="77777777" w:rsidR="00044B66" w:rsidRPr="00836EF3" w:rsidRDefault="00044B66" w:rsidP="00241293">
      <w:pPr>
        <w:numPr>
          <w:ilvl w:val="0"/>
          <w:numId w:val="11"/>
        </w:numPr>
        <w:jc w:val="both"/>
        <w:rPr>
          <w:rFonts w:ascii="Arial" w:eastAsia="Times New Roman" w:hAnsi="Arial" w:cs="Arial"/>
          <w:lang w:bidi="en-GB"/>
        </w:rPr>
      </w:pPr>
      <w:r w:rsidRPr="00836EF3">
        <w:rPr>
          <w:rFonts w:ascii="Arial" w:eastAsia="Times New Roman" w:hAnsi="Arial" w:cs="Arial"/>
          <w:lang w:bidi="en-GB"/>
        </w:rPr>
        <w:lastRenderedPageBreak/>
        <w:t>Patients should be advised to have a dental examination with appropriate preventative dentistry prior to treatment with bisphosphonates.</w:t>
      </w:r>
    </w:p>
    <w:p w14:paraId="4F5ED9F4" w14:textId="77777777" w:rsidR="00044B66" w:rsidRPr="00836EF3" w:rsidRDefault="00044B66" w:rsidP="00241293">
      <w:pPr>
        <w:numPr>
          <w:ilvl w:val="0"/>
          <w:numId w:val="11"/>
        </w:numPr>
        <w:jc w:val="both"/>
        <w:rPr>
          <w:rFonts w:ascii="Arial" w:eastAsia="Times New Roman" w:hAnsi="Arial" w:cs="Arial"/>
          <w:lang w:bidi="en-GB"/>
        </w:rPr>
      </w:pPr>
      <w:r w:rsidRPr="00836EF3">
        <w:rPr>
          <w:rFonts w:ascii="Arial" w:eastAsia="Times New Roman" w:hAnsi="Arial" w:cs="Arial"/>
          <w:lang w:bidi="en-GB"/>
        </w:rPr>
        <w:t>During bisphosphonate treatment, patients should maintain good oral hygiene, receive routine dental check-ups, and report any oral symptoms such as dental mobility, pain, or swelling.</w:t>
      </w:r>
    </w:p>
    <w:p w14:paraId="04DC404F" w14:textId="77777777" w:rsidR="00044B66" w:rsidRPr="00836EF3" w:rsidRDefault="00044B66" w:rsidP="00044B66">
      <w:pPr>
        <w:jc w:val="both"/>
        <w:rPr>
          <w:rFonts w:ascii="Arial" w:eastAsia="Times New Roman" w:hAnsi="Arial" w:cs="Arial"/>
          <w:lang w:bidi="en-GB"/>
        </w:rPr>
      </w:pPr>
    </w:p>
    <w:p w14:paraId="109BC1F0" w14:textId="77777777" w:rsidR="00044B66" w:rsidRPr="00B44CEF" w:rsidRDefault="00044B66" w:rsidP="00044B66">
      <w:pPr>
        <w:jc w:val="both"/>
        <w:rPr>
          <w:rFonts w:ascii="Arial" w:eastAsia="Times New Roman" w:hAnsi="Arial" w:cs="Arial"/>
          <w:bCs/>
          <w:i/>
          <w:lang w:bidi="en-GB"/>
        </w:rPr>
      </w:pPr>
      <w:r w:rsidRPr="00B44CEF">
        <w:rPr>
          <w:rFonts w:ascii="Arial" w:eastAsia="Times New Roman" w:hAnsi="Arial" w:cs="Arial"/>
          <w:bCs/>
          <w:i/>
          <w:lang w:bidi="en-GB"/>
        </w:rPr>
        <w:t>Atypical femoral fractures (MHRA warning):</w:t>
      </w:r>
    </w:p>
    <w:p w14:paraId="426BC03F" w14:textId="77777777" w:rsidR="00044B66" w:rsidRPr="00836EF3" w:rsidRDefault="00044B66" w:rsidP="00241293">
      <w:pPr>
        <w:numPr>
          <w:ilvl w:val="0"/>
          <w:numId w:val="12"/>
        </w:numPr>
        <w:jc w:val="both"/>
        <w:rPr>
          <w:rFonts w:ascii="Arial" w:eastAsia="Times New Roman" w:hAnsi="Arial" w:cs="Arial"/>
          <w:lang w:bidi="en-GB"/>
        </w:rPr>
      </w:pPr>
      <w:r w:rsidRPr="00836EF3">
        <w:rPr>
          <w:rFonts w:ascii="Arial" w:eastAsia="Times New Roman" w:hAnsi="Arial" w:cs="Arial"/>
          <w:lang w:bidi="en-GB"/>
        </w:rPr>
        <w:t>During bisphosphonate treatment, patients should be advised to report any thigh, hip, or groin pain.</w:t>
      </w:r>
    </w:p>
    <w:p w14:paraId="3ABB033C" w14:textId="77777777" w:rsidR="00044B66" w:rsidRPr="00836EF3" w:rsidRDefault="00044B66" w:rsidP="00241293">
      <w:pPr>
        <w:numPr>
          <w:ilvl w:val="0"/>
          <w:numId w:val="12"/>
        </w:numPr>
        <w:jc w:val="both"/>
        <w:rPr>
          <w:rFonts w:ascii="Arial" w:eastAsia="Times New Roman" w:hAnsi="Arial" w:cs="Arial"/>
          <w:lang w:bidi="en-GB"/>
        </w:rPr>
      </w:pPr>
      <w:r w:rsidRPr="00836EF3">
        <w:rPr>
          <w:rFonts w:ascii="Arial" w:eastAsia="Times New Roman" w:hAnsi="Arial" w:cs="Arial"/>
          <w:lang w:bidi="en-GB"/>
        </w:rPr>
        <w:t>Any patient who presents with such symptoms should be evaluated for an incomplete femur fracture.</w:t>
      </w:r>
    </w:p>
    <w:p w14:paraId="3377E02D" w14:textId="77777777" w:rsidR="00044B66" w:rsidRPr="00836EF3" w:rsidRDefault="00044B66" w:rsidP="00044B66">
      <w:pPr>
        <w:jc w:val="both"/>
        <w:rPr>
          <w:rFonts w:ascii="Arial" w:eastAsia="Times New Roman" w:hAnsi="Arial" w:cs="Arial"/>
          <w:lang w:bidi="en-GB"/>
        </w:rPr>
      </w:pPr>
    </w:p>
    <w:p w14:paraId="18DFEDD9" w14:textId="77777777" w:rsidR="00044B66" w:rsidRPr="00B44CEF" w:rsidRDefault="00044B66" w:rsidP="00044B66">
      <w:pPr>
        <w:jc w:val="both"/>
        <w:rPr>
          <w:rFonts w:ascii="Arial" w:eastAsia="Times New Roman" w:hAnsi="Arial" w:cs="Arial"/>
          <w:bCs/>
          <w:i/>
          <w:lang w:bidi="en-GB"/>
        </w:rPr>
      </w:pPr>
      <w:proofErr w:type="spellStart"/>
      <w:r w:rsidRPr="00B44CEF">
        <w:rPr>
          <w:rFonts w:ascii="Arial" w:eastAsia="Times New Roman" w:hAnsi="Arial" w:cs="Arial"/>
          <w:bCs/>
          <w:i/>
          <w:lang w:bidi="en-GB"/>
        </w:rPr>
        <w:t>Oesophageal</w:t>
      </w:r>
      <w:proofErr w:type="spellEnd"/>
      <w:r w:rsidRPr="00B44CEF">
        <w:rPr>
          <w:rFonts w:ascii="Arial" w:eastAsia="Times New Roman" w:hAnsi="Arial" w:cs="Arial"/>
          <w:bCs/>
          <w:i/>
          <w:lang w:bidi="en-GB"/>
        </w:rPr>
        <w:t xml:space="preserve"> reactions (MHRA warning):</w:t>
      </w:r>
    </w:p>
    <w:p w14:paraId="61B46CF4" w14:textId="77777777" w:rsidR="00044B66" w:rsidRPr="00836EF3" w:rsidRDefault="00044B66" w:rsidP="00241293">
      <w:pPr>
        <w:numPr>
          <w:ilvl w:val="0"/>
          <w:numId w:val="13"/>
        </w:numPr>
        <w:ind w:left="709" w:hanging="283"/>
        <w:jc w:val="both"/>
        <w:rPr>
          <w:rFonts w:ascii="Arial" w:eastAsia="Times New Roman" w:hAnsi="Arial" w:cs="Arial"/>
          <w:lang w:bidi="en-GB"/>
        </w:rPr>
      </w:pPr>
      <w:r w:rsidRPr="00836EF3">
        <w:rPr>
          <w:rFonts w:ascii="Arial" w:eastAsia="Times New Roman" w:hAnsi="Arial" w:cs="Arial"/>
          <w:lang w:bidi="en-GB"/>
        </w:rPr>
        <w:t xml:space="preserve">Patients should be advised to stop taking the tablets and to seek medical attention if they develop any symptoms of </w:t>
      </w:r>
      <w:proofErr w:type="spellStart"/>
      <w:r w:rsidRPr="00836EF3">
        <w:rPr>
          <w:rFonts w:ascii="Arial" w:eastAsia="Times New Roman" w:hAnsi="Arial" w:cs="Arial"/>
          <w:lang w:bidi="en-GB"/>
        </w:rPr>
        <w:t>oesophageal</w:t>
      </w:r>
      <w:proofErr w:type="spellEnd"/>
      <w:r w:rsidRPr="00836EF3">
        <w:rPr>
          <w:rFonts w:ascii="Arial" w:eastAsia="Times New Roman" w:hAnsi="Arial" w:cs="Arial"/>
          <w:lang w:bidi="en-GB"/>
        </w:rPr>
        <w:t xml:space="preserve"> irritation such as difficulty or pain upon swallowing, chest pain, or new or worsening heartburn.</w:t>
      </w:r>
    </w:p>
    <w:p w14:paraId="61C4C5A6" w14:textId="77777777" w:rsidR="00044B66" w:rsidRPr="00836EF3" w:rsidRDefault="00044B66" w:rsidP="00241293">
      <w:pPr>
        <w:numPr>
          <w:ilvl w:val="0"/>
          <w:numId w:val="13"/>
        </w:numPr>
        <w:ind w:left="709" w:hanging="283"/>
        <w:jc w:val="both"/>
        <w:rPr>
          <w:rFonts w:ascii="Arial" w:eastAsia="Times New Roman" w:hAnsi="Arial" w:cs="Arial"/>
          <w:lang w:bidi="en-GB"/>
        </w:rPr>
      </w:pPr>
      <w:r w:rsidRPr="00836EF3">
        <w:rPr>
          <w:rFonts w:ascii="Arial" w:eastAsia="Times New Roman" w:hAnsi="Arial" w:cs="Arial"/>
          <w:lang w:bidi="en-GB"/>
        </w:rPr>
        <w:t>See above regarding importance of dosing instructions.</w:t>
      </w:r>
    </w:p>
    <w:p w14:paraId="54DF588E" w14:textId="77777777" w:rsidR="00044B66" w:rsidRPr="00836EF3" w:rsidRDefault="00044B66" w:rsidP="00044B66">
      <w:pPr>
        <w:jc w:val="both"/>
        <w:rPr>
          <w:rFonts w:ascii="Arial" w:eastAsia="Times New Roman" w:hAnsi="Arial" w:cs="Arial"/>
          <w:lang w:bidi="en-GB"/>
        </w:rPr>
      </w:pPr>
    </w:p>
    <w:p w14:paraId="175524F7" w14:textId="77777777" w:rsidR="00044B66" w:rsidRPr="00B44CEF" w:rsidRDefault="00044B66" w:rsidP="00044B66">
      <w:pPr>
        <w:jc w:val="both"/>
        <w:rPr>
          <w:rFonts w:ascii="Arial" w:eastAsia="Times New Roman" w:hAnsi="Arial" w:cs="Arial"/>
          <w:bCs/>
          <w:i/>
          <w:lang w:bidi="en-GB"/>
        </w:rPr>
      </w:pPr>
      <w:r w:rsidRPr="00B44CEF">
        <w:rPr>
          <w:rFonts w:ascii="Arial" w:eastAsia="Times New Roman" w:hAnsi="Arial" w:cs="Arial"/>
          <w:bCs/>
          <w:i/>
          <w:lang w:bidi="en-GB"/>
        </w:rPr>
        <w:t>Very rare reports of osteonecrosis of the external auditory canal (MHRA warning):</w:t>
      </w:r>
    </w:p>
    <w:p w14:paraId="3877E85B"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Patients should be advised to report any ear pain, discharge from the ear or an ear infection during bisphosphonate treatment.</w:t>
      </w:r>
    </w:p>
    <w:p w14:paraId="6B19AF9E"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Review current medicines:</w:t>
      </w:r>
    </w:p>
    <w:p w14:paraId="537321F4"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Advise patient to stop any other bisphosphonate that they may be taking; for example: risedronate or alendronate.</w:t>
      </w:r>
    </w:p>
    <w:p w14:paraId="02EA7AAA" w14:textId="77777777" w:rsidR="00044B66" w:rsidRPr="00836EF3" w:rsidRDefault="00044B66" w:rsidP="00241293">
      <w:pPr>
        <w:numPr>
          <w:ilvl w:val="0"/>
          <w:numId w:val="14"/>
        </w:numPr>
        <w:jc w:val="both"/>
        <w:rPr>
          <w:rFonts w:ascii="Arial" w:eastAsia="Times New Roman" w:hAnsi="Arial" w:cs="Arial"/>
          <w:lang w:bidi="en-GB"/>
        </w:rPr>
      </w:pPr>
      <w:r w:rsidRPr="00836EF3">
        <w:rPr>
          <w:rFonts w:ascii="Arial" w:eastAsia="Times New Roman" w:hAnsi="Arial" w:cs="Arial"/>
          <w:lang w:bidi="en-GB"/>
        </w:rPr>
        <w:t>For patients taking a regular NSAID consider whether this can be discontinued.</w:t>
      </w:r>
    </w:p>
    <w:p w14:paraId="78708A3F" w14:textId="77777777" w:rsidR="00044B66" w:rsidRDefault="00044B66" w:rsidP="00044B66">
      <w:pPr>
        <w:jc w:val="both"/>
        <w:rPr>
          <w:rFonts w:ascii="Arial" w:eastAsia="Times New Roman" w:hAnsi="Arial" w:cs="Arial"/>
          <w:lang w:bidi="en-GB"/>
        </w:rPr>
      </w:pPr>
    </w:p>
    <w:p w14:paraId="10747F77" w14:textId="77777777" w:rsidR="00044B66" w:rsidRPr="00836EF3" w:rsidRDefault="00044B66" w:rsidP="00044B66">
      <w:pPr>
        <w:autoSpaceDE w:val="0"/>
        <w:autoSpaceDN w:val="0"/>
        <w:adjustRightInd w:val="0"/>
        <w:rPr>
          <w:rFonts w:ascii="Arial" w:eastAsia="Times New Roman" w:hAnsi="Arial" w:cs="Arial"/>
          <w:color w:val="000000"/>
          <w:lang w:bidi="en-GB"/>
        </w:rPr>
      </w:pPr>
      <w:r w:rsidRPr="00836EF3">
        <w:rPr>
          <w:rFonts w:ascii="Arial" w:eastAsia="Times New Roman" w:hAnsi="Arial" w:cs="Arial"/>
          <w:i/>
          <w:color w:val="000000"/>
          <w:lang w:bidi="en-GB"/>
        </w:rPr>
        <w:t>Contraindications:</w:t>
      </w:r>
      <w:r>
        <w:rPr>
          <w:rFonts w:ascii="Arial" w:eastAsia="Times New Roman" w:hAnsi="Arial" w:cs="Arial"/>
          <w:i/>
          <w:color w:val="000000"/>
          <w:lang w:bidi="en-GB"/>
        </w:rPr>
        <w:t xml:space="preserve"> </w:t>
      </w:r>
      <w:proofErr w:type="spellStart"/>
      <w:r>
        <w:rPr>
          <w:rFonts w:ascii="Arial" w:eastAsia="Times New Roman" w:hAnsi="Arial" w:cs="Arial"/>
          <w:color w:val="000000"/>
          <w:lang w:bidi="en-GB"/>
        </w:rPr>
        <w:t>Hypocalcaemia</w:t>
      </w:r>
      <w:proofErr w:type="spellEnd"/>
      <w:r>
        <w:rPr>
          <w:rFonts w:ascii="Arial" w:eastAsia="Times New Roman" w:hAnsi="Arial" w:cs="Arial"/>
          <w:color w:val="000000"/>
          <w:lang w:bidi="en-GB"/>
        </w:rPr>
        <w:t>, i</w:t>
      </w:r>
      <w:r w:rsidRPr="002C0A80">
        <w:rPr>
          <w:rFonts w:ascii="Arial" w:eastAsia="Times New Roman" w:hAnsi="Arial" w:cs="Arial"/>
          <w:color w:val="000000"/>
          <w:lang w:bidi="en-GB"/>
        </w:rPr>
        <w:t xml:space="preserve">nability to stand or sit </w:t>
      </w:r>
      <w:r>
        <w:rPr>
          <w:rFonts w:ascii="Arial" w:eastAsia="Times New Roman" w:hAnsi="Arial" w:cs="Arial"/>
          <w:color w:val="000000"/>
          <w:lang w:bidi="en-GB"/>
        </w:rPr>
        <w:t>upright for at least 60 minutes, a</w:t>
      </w:r>
      <w:r w:rsidRPr="00836EF3">
        <w:rPr>
          <w:rFonts w:ascii="Arial" w:eastAsia="Times New Roman" w:hAnsi="Arial" w:cs="Arial"/>
          <w:color w:val="000000"/>
          <w:lang w:bidi="en-GB"/>
        </w:rPr>
        <w:t xml:space="preserve">bnormalities of the </w:t>
      </w:r>
      <w:proofErr w:type="spellStart"/>
      <w:r w:rsidRPr="00836EF3">
        <w:rPr>
          <w:rFonts w:ascii="Arial" w:eastAsia="Times New Roman" w:hAnsi="Arial" w:cs="Arial"/>
          <w:color w:val="000000"/>
          <w:lang w:bidi="en-GB"/>
        </w:rPr>
        <w:t>oesophagus</w:t>
      </w:r>
      <w:proofErr w:type="spellEnd"/>
      <w:r w:rsidRPr="00836EF3">
        <w:rPr>
          <w:rFonts w:ascii="Arial" w:eastAsia="Times New Roman" w:hAnsi="Arial" w:cs="Arial"/>
          <w:color w:val="000000"/>
          <w:lang w:bidi="en-GB"/>
        </w:rPr>
        <w:t xml:space="preserve"> which delay </w:t>
      </w:r>
      <w:proofErr w:type="spellStart"/>
      <w:r w:rsidRPr="00836EF3">
        <w:rPr>
          <w:rFonts w:ascii="Arial" w:eastAsia="Times New Roman" w:hAnsi="Arial" w:cs="Arial"/>
          <w:color w:val="000000"/>
          <w:lang w:bidi="en-GB"/>
        </w:rPr>
        <w:t>oesophageal</w:t>
      </w:r>
      <w:proofErr w:type="spellEnd"/>
      <w:r w:rsidRPr="00836EF3">
        <w:rPr>
          <w:rFonts w:ascii="Arial" w:eastAsia="Times New Roman" w:hAnsi="Arial" w:cs="Arial"/>
          <w:color w:val="000000"/>
          <w:lang w:bidi="en-GB"/>
        </w:rPr>
        <w:t xml:space="preserve"> emptying such as stricture or achala</w:t>
      </w:r>
      <w:r>
        <w:rPr>
          <w:rFonts w:ascii="Arial" w:eastAsia="Times New Roman" w:hAnsi="Arial" w:cs="Arial"/>
          <w:color w:val="000000"/>
          <w:lang w:bidi="en-GB"/>
        </w:rPr>
        <w:t>sia and h</w:t>
      </w:r>
      <w:r w:rsidRPr="00836EF3">
        <w:rPr>
          <w:rFonts w:ascii="Arial" w:eastAsia="Times New Roman" w:hAnsi="Arial" w:cs="Arial"/>
          <w:color w:val="000000"/>
          <w:lang w:bidi="en-GB"/>
        </w:rPr>
        <w:t>ypersensitivity to the active substance or to any of the excipients (</w:t>
      </w:r>
      <w:proofErr w:type="gramStart"/>
      <w:r w:rsidRPr="00836EF3">
        <w:rPr>
          <w:rFonts w:ascii="Arial" w:eastAsia="Times New Roman" w:hAnsi="Arial" w:cs="Arial"/>
          <w:color w:val="000000"/>
          <w:lang w:bidi="en-GB"/>
        </w:rPr>
        <w:t>e.g.</w:t>
      </w:r>
      <w:proofErr w:type="gramEnd"/>
      <w:r w:rsidRPr="00836EF3">
        <w:rPr>
          <w:rFonts w:ascii="Arial" w:eastAsia="Times New Roman" w:hAnsi="Arial" w:cs="Arial"/>
          <w:color w:val="000000"/>
          <w:lang w:bidi="en-GB"/>
        </w:rPr>
        <w:t xml:space="preserve"> lactose intolerance).</w:t>
      </w:r>
    </w:p>
    <w:p w14:paraId="604AA3E9" w14:textId="77777777" w:rsidR="00044B66" w:rsidRDefault="00044B66" w:rsidP="00044B66">
      <w:pPr>
        <w:jc w:val="both"/>
        <w:rPr>
          <w:rFonts w:ascii="Arial" w:eastAsia="Times New Roman" w:hAnsi="Arial" w:cs="Arial"/>
          <w:lang w:bidi="en-GB"/>
        </w:rPr>
      </w:pPr>
    </w:p>
    <w:p w14:paraId="2A7F1DE1" w14:textId="77777777" w:rsidR="00044B66" w:rsidRPr="00836EF3" w:rsidRDefault="00044B66" w:rsidP="00044B66">
      <w:pPr>
        <w:jc w:val="both"/>
        <w:rPr>
          <w:rFonts w:ascii="Arial" w:eastAsia="Times New Roman" w:hAnsi="Arial" w:cs="Arial"/>
          <w:lang w:bidi="en-GB"/>
        </w:rPr>
      </w:pPr>
    </w:p>
    <w:p w14:paraId="69A9FA5B" w14:textId="77777777" w:rsidR="00044B66" w:rsidRDefault="00044B66" w:rsidP="00241293">
      <w:pPr>
        <w:numPr>
          <w:ilvl w:val="0"/>
          <w:numId w:val="17"/>
        </w:numPr>
        <w:ind w:left="426"/>
        <w:jc w:val="both"/>
        <w:rPr>
          <w:rFonts w:ascii="Arial" w:eastAsia="Times New Roman" w:hAnsi="Arial" w:cs="Arial"/>
          <w:b/>
          <w:bCs/>
        </w:rPr>
      </w:pPr>
      <w:r w:rsidRPr="008841A5">
        <w:rPr>
          <w:rFonts w:ascii="Arial" w:eastAsia="Times New Roman" w:hAnsi="Arial" w:cs="Arial"/>
          <w:b/>
          <w:bCs/>
        </w:rPr>
        <w:t>Interactions</w:t>
      </w:r>
    </w:p>
    <w:p w14:paraId="38F6690C" w14:textId="77777777" w:rsidR="00044B66" w:rsidRPr="008841A5" w:rsidRDefault="00044B66" w:rsidP="00044B66">
      <w:pPr>
        <w:jc w:val="both"/>
        <w:rPr>
          <w:rFonts w:ascii="Arial" w:eastAsia="Times New Roman" w:hAnsi="Arial" w:cs="Arial"/>
          <w:b/>
          <w:bCs/>
        </w:rPr>
      </w:pPr>
    </w:p>
    <w:p w14:paraId="6028D217" w14:textId="77777777" w:rsidR="00044B66" w:rsidRPr="003F7276" w:rsidRDefault="00044B66" w:rsidP="00044B66">
      <w:pPr>
        <w:autoSpaceDE w:val="0"/>
        <w:autoSpaceDN w:val="0"/>
        <w:adjustRightInd w:val="0"/>
        <w:rPr>
          <w:rFonts w:ascii="Arial" w:eastAsia="Times New Roman" w:hAnsi="Arial" w:cs="Arial"/>
          <w:color w:val="000000"/>
          <w:lang w:bidi="en-GB"/>
        </w:rPr>
      </w:pPr>
      <w:r w:rsidRPr="003F7276">
        <w:rPr>
          <w:rFonts w:ascii="Arial" w:eastAsia="Times New Roman" w:hAnsi="Arial" w:cs="Arial"/>
          <w:color w:val="000000"/>
          <w:lang w:bidi="en-GB"/>
        </w:rPr>
        <w:t xml:space="preserve">Full list of interactions is given in the </w:t>
      </w:r>
      <w:proofErr w:type="spellStart"/>
      <w:r w:rsidRPr="003F7276">
        <w:rPr>
          <w:rFonts w:ascii="Arial" w:eastAsia="Times New Roman" w:hAnsi="Arial" w:cs="Arial"/>
          <w:color w:val="000000"/>
          <w:lang w:bidi="en-GB"/>
        </w:rPr>
        <w:t>Ibandronic</w:t>
      </w:r>
      <w:proofErr w:type="spellEnd"/>
      <w:r w:rsidRPr="003F7276">
        <w:rPr>
          <w:rFonts w:ascii="Arial" w:eastAsia="Times New Roman" w:hAnsi="Arial" w:cs="Arial"/>
          <w:color w:val="000000"/>
          <w:lang w:bidi="en-GB"/>
        </w:rPr>
        <w:t xml:space="preserve"> Acid 50mg tablets SPC (</w:t>
      </w:r>
      <w:hyperlink r:id="rId13">
        <w:r w:rsidRPr="003F7276">
          <w:rPr>
            <w:rStyle w:val="Hyperlink"/>
            <w:rFonts w:ascii="Arial" w:eastAsia="Times New Roman" w:hAnsi="Arial" w:cs="Arial"/>
            <w:lang w:bidi="en-GB"/>
          </w:rPr>
          <w:t>www.emc.medicines.org.uk</w:t>
        </w:r>
      </w:hyperlink>
      <w:r w:rsidRPr="003F7276">
        <w:rPr>
          <w:rFonts w:ascii="Arial" w:eastAsia="Times New Roman" w:hAnsi="Arial" w:cs="Arial"/>
          <w:color w:val="000000"/>
          <w:lang w:bidi="en-GB"/>
        </w:rPr>
        <w:t>)</w:t>
      </w:r>
      <w:r>
        <w:rPr>
          <w:rFonts w:ascii="Arial" w:eastAsia="Times New Roman" w:hAnsi="Arial" w:cs="Arial"/>
          <w:color w:val="000000"/>
          <w:lang w:bidi="en-GB"/>
        </w:rPr>
        <w:t xml:space="preserve">. </w:t>
      </w:r>
    </w:p>
    <w:p w14:paraId="1910A94E" w14:textId="77777777" w:rsidR="00044B66" w:rsidRDefault="00044B66" w:rsidP="00044B66">
      <w:pPr>
        <w:autoSpaceDE w:val="0"/>
        <w:autoSpaceDN w:val="0"/>
        <w:adjustRightInd w:val="0"/>
        <w:rPr>
          <w:rFonts w:ascii="Arial" w:eastAsia="Times New Roman" w:hAnsi="Arial" w:cs="Arial"/>
          <w:color w:val="000000"/>
        </w:rPr>
      </w:pPr>
    </w:p>
    <w:p w14:paraId="2F3BCCDC" w14:textId="77777777" w:rsidR="00044B66" w:rsidRDefault="00044B66" w:rsidP="00044B66">
      <w:pPr>
        <w:autoSpaceDE w:val="0"/>
        <w:autoSpaceDN w:val="0"/>
        <w:adjustRightInd w:val="0"/>
        <w:rPr>
          <w:rFonts w:ascii="Arial" w:eastAsia="Times New Roman" w:hAnsi="Arial" w:cs="Arial"/>
          <w:color w:val="000000"/>
        </w:rPr>
      </w:pPr>
      <w:r w:rsidRPr="008841A5">
        <w:rPr>
          <w:rFonts w:ascii="Arial" w:eastAsia="Times New Roman" w:hAnsi="Arial" w:cs="Arial"/>
          <w:color w:val="000000"/>
        </w:rPr>
        <w:t>There are n</w:t>
      </w:r>
      <w:r>
        <w:rPr>
          <w:rFonts w:ascii="Arial" w:eastAsia="Times New Roman" w:hAnsi="Arial" w:cs="Arial"/>
          <w:color w:val="000000"/>
        </w:rPr>
        <w:t>o significant drug interactions but p</w:t>
      </w:r>
      <w:r w:rsidRPr="008841A5">
        <w:rPr>
          <w:rFonts w:ascii="Arial" w:eastAsia="Times New Roman" w:hAnsi="Arial" w:cs="Arial"/>
          <w:color w:val="000000"/>
        </w:rPr>
        <w:t xml:space="preserve">roducts containing calcium and other multivalent cations (such as </w:t>
      </w:r>
      <w:proofErr w:type="spellStart"/>
      <w:r w:rsidRPr="008841A5">
        <w:rPr>
          <w:rFonts w:ascii="Arial" w:eastAsia="Times New Roman" w:hAnsi="Arial" w:cs="Arial"/>
          <w:color w:val="000000"/>
        </w:rPr>
        <w:t>aluminium</w:t>
      </w:r>
      <w:proofErr w:type="spellEnd"/>
      <w:r w:rsidRPr="008841A5">
        <w:rPr>
          <w:rFonts w:ascii="Arial" w:eastAsia="Times New Roman" w:hAnsi="Arial" w:cs="Arial"/>
          <w:color w:val="000000"/>
        </w:rPr>
        <w:t xml:space="preserve">, magnesium, iron), including milk and food, are likely to interfere with absorption of </w:t>
      </w:r>
      <w:proofErr w:type="spellStart"/>
      <w:r w:rsidRPr="008841A5">
        <w:rPr>
          <w:rFonts w:ascii="Arial" w:eastAsia="Times New Roman" w:hAnsi="Arial" w:cs="Arial"/>
          <w:color w:val="000000"/>
        </w:rPr>
        <w:t>ibandronic</w:t>
      </w:r>
      <w:proofErr w:type="spellEnd"/>
      <w:r w:rsidRPr="008841A5">
        <w:rPr>
          <w:rFonts w:ascii="Arial" w:eastAsia="Times New Roman" w:hAnsi="Arial" w:cs="Arial"/>
          <w:color w:val="000000"/>
        </w:rPr>
        <w:t xml:space="preserve"> acid. </w:t>
      </w:r>
    </w:p>
    <w:p w14:paraId="242EDE41" w14:textId="77777777" w:rsidR="00044B66" w:rsidRPr="008841A5" w:rsidRDefault="00044B66" w:rsidP="00044B66">
      <w:pPr>
        <w:autoSpaceDE w:val="0"/>
        <w:autoSpaceDN w:val="0"/>
        <w:adjustRightInd w:val="0"/>
        <w:rPr>
          <w:rFonts w:ascii="Arial" w:eastAsia="Times New Roman" w:hAnsi="Arial" w:cs="Arial"/>
          <w:color w:val="000000"/>
        </w:rPr>
      </w:pPr>
    </w:p>
    <w:p w14:paraId="35111E48" w14:textId="77777777" w:rsidR="00044B66" w:rsidRPr="003F7276" w:rsidRDefault="00044B66" w:rsidP="00044B66">
      <w:pPr>
        <w:autoSpaceDE w:val="0"/>
        <w:autoSpaceDN w:val="0"/>
        <w:adjustRightInd w:val="0"/>
        <w:rPr>
          <w:rFonts w:ascii="Arial" w:eastAsia="Times New Roman" w:hAnsi="Arial" w:cs="Arial"/>
          <w:color w:val="000000"/>
          <w:lang w:bidi="en-GB"/>
        </w:rPr>
      </w:pPr>
      <w:r w:rsidRPr="003F7276">
        <w:rPr>
          <w:rFonts w:ascii="Arial" w:eastAsia="Times New Roman" w:hAnsi="Arial" w:cs="Arial"/>
          <w:color w:val="000000"/>
          <w:lang w:bidi="en-GB"/>
        </w:rPr>
        <w:t>Since acetylsalicylic acid, NSAIDs and bisphosphonates are associated with gastrointestinal irritation, caution should be taken during concomitant administration.</w:t>
      </w:r>
    </w:p>
    <w:p w14:paraId="6CC3929C" w14:textId="77777777" w:rsidR="00044B66" w:rsidRPr="008841A5" w:rsidRDefault="00044B66" w:rsidP="00044B66">
      <w:pPr>
        <w:autoSpaceDE w:val="0"/>
        <w:autoSpaceDN w:val="0"/>
        <w:adjustRightInd w:val="0"/>
        <w:rPr>
          <w:rFonts w:ascii="Arial" w:eastAsia="Times New Roman" w:hAnsi="Arial" w:cs="Arial"/>
          <w:color w:val="000000"/>
        </w:rPr>
      </w:pPr>
    </w:p>
    <w:p w14:paraId="25DC5E70" w14:textId="77777777" w:rsidR="00044B66" w:rsidRPr="00155D5A" w:rsidRDefault="00044B66" w:rsidP="00241293">
      <w:pPr>
        <w:pStyle w:val="ListParagraph"/>
        <w:numPr>
          <w:ilvl w:val="0"/>
          <w:numId w:val="17"/>
        </w:numPr>
        <w:ind w:left="426"/>
        <w:jc w:val="both"/>
        <w:rPr>
          <w:rFonts w:ascii="Arial" w:eastAsia="Arial Unicode MS" w:hAnsi="Arial" w:cs="Arial"/>
          <w:b/>
        </w:rPr>
      </w:pPr>
      <w:r w:rsidRPr="00155D5A">
        <w:rPr>
          <w:rFonts w:ascii="Arial" w:eastAsia="Arial Unicode MS" w:hAnsi="Arial" w:cs="Arial"/>
          <w:b/>
        </w:rPr>
        <w:t>Monitoring</w:t>
      </w:r>
    </w:p>
    <w:p w14:paraId="121FBA98" w14:textId="77777777" w:rsidR="00044B66" w:rsidRPr="00155D5A" w:rsidRDefault="00044B66" w:rsidP="00044B66">
      <w:pPr>
        <w:jc w:val="both"/>
        <w:rPr>
          <w:rFonts w:ascii="Arial" w:eastAsia="Arial Unicode MS" w:hAnsi="Arial" w:cs="Arial"/>
          <w:b/>
        </w:rPr>
      </w:pPr>
    </w:p>
    <w:p w14:paraId="66460CC4" w14:textId="77777777" w:rsidR="00044B66" w:rsidRPr="008841A5" w:rsidRDefault="00044B66" w:rsidP="00044B66">
      <w:pPr>
        <w:rPr>
          <w:rFonts w:ascii="Arial" w:eastAsia="Times New Roman" w:hAnsi="Arial" w:cs="Arial"/>
        </w:rPr>
      </w:pPr>
      <w:r w:rsidRPr="008841A5">
        <w:rPr>
          <w:rFonts w:ascii="Arial" w:eastAsia="Times New Roman" w:hAnsi="Arial" w:cs="Arial"/>
        </w:rPr>
        <w:t>LFT’s U&amp;E’s, creatinine, serum calcium, phosphate and magnesium, creatinine clearance every 3 months</w:t>
      </w:r>
      <w:r>
        <w:rPr>
          <w:rFonts w:ascii="Arial" w:eastAsia="Times New Roman" w:hAnsi="Arial" w:cs="Arial"/>
        </w:rPr>
        <w:t>.</w:t>
      </w:r>
    </w:p>
    <w:p w14:paraId="2864BA35" w14:textId="77777777" w:rsidR="00044B66" w:rsidRPr="008841A5" w:rsidRDefault="00044B66" w:rsidP="00044B66">
      <w:pPr>
        <w:rPr>
          <w:rFonts w:ascii="Arial" w:eastAsia="Times New Roman" w:hAnsi="Arial" w:cs="Arial"/>
        </w:rPr>
      </w:pPr>
    </w:p>
    <w:p w14:paraId="3B485886" w14:textId="77777777" w:rsidR="00044B66" w:rsidRPr="008841A5" w:rsidRDefault="00044B66" w:rsidP="00044B66">
      <w:pPr>
        <w:rPr>
          <w:rFonts w:ascii="Arial" w:eastAsia="Times New Roman" w:hAnsi="Arial" w:cs="Arial"/>
          <w:b/>
          <w:bCs/>
        </w:rPr>
      </w:pPr>
      <w:r>
        <w:rPr>
          <w:rFonts w:ascii="Arial" w:eastAsia="Times New Roman" w:hAnsi="Arial" w:cs="Arial"/>
          <w:b/>
          <w:bCs/>
        </w:rPr>
        <w:t>7</w:t>
      </w:r>
      <w:r w:rsidRPr="008841A5">
        <w:rPr>
          <w:rFonts w:ascii="Arial" w:eastAsia="Times New Roman" w:hAnsi="Arial" w:cs="Arial"/>
          <w:b/>
          <w:bCs/>
        </w:rPr>
        <w:t>. Information to patient</w:t>
      </w:r>
    </w:p>
    <w:p w14:paraId="6178DB47" w14:textId="77777777" w:rsidR="00044B66" w:rsidRDefault="00044B66" w:rsidP="00044B66">
      <w:pPr>
        <w:rPr>
          <w:rFonts w:ascii="Arial" w:eastAsia="Times New Roman" w:hAnsi="Arial" w:cs="Arial"/>
        </w:rPr>
      </w:pPr>
    </w:p>
    <w:p w14:paraId="74812162" w14:textId="77777777" w:rsidR="00044B66" w:rsidRPr="00151846" w:rsidRDefault="00044B66" w:rsidP="00241293">
      <w:pPr>
        <w:pStyle w:val="ListParagraph"/>
        <w:numPr>
          <w:ilvl w:val="0"/>
          <w:numId w:val="16"/>
        </w:numPr>
        <w:ind w:left="284" w:hanging="284"/>
        <w:rPr>
          <w:rFonts w:ascii="Arial" w:eastAsia="Times New Roman" w:hAnsi="Arial" w:cs="Arial"/>
          <w:b/>
          <w:lang w:bidi="en-GB"/>
        </w:rPr>
      </w:pPr>
      <w:r w:rsidRPr="00151846">
        <w:rPr>
          <w:rFonts w:ascii="Arial" w:eastAsia="Times New Roman" w:hAnsi="Arial" w:cs="Arial"/>
          <w:lang w:bidi="en-GB"/>
        </w:rPr>
        <w:t xml:space="preserve">Patients need to be aware that this is an unlicensed indication </w:t>
      </w:r>
      <w:r w:rsidRPr="00151846">
        <w:rPr>
          <w:rFonts w:ascii="Arial" w:eastAsia="Times New Roman" w:hAnsi="Arial" w:cs="Arial"/>
          <w:b/>
          <w:lang w:bidi="en-GB"/>
        </w:rPr>
        <w:t>(responsibility of specialist).</w:t>
      </w:r>
    </w:p>
    <w:p w14:paraId="18EAB0B4" w14:textId="77777777" w:rsidR="00044B6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lastRenderedPageBreak/>
        <w:t>Patients should be advised on how to take the medicines and be referred to the manufacturer’s Patient Inform</w:t>
      </w:r>
      <w:r>
        <w:rPr>
          <w:rFonts w:ascii="Arial" w:eastAsia="Times New Roman" w:hAnsi="Arial" w:cs="Arial"/>
          <w:lang w:bidi="en-GB"/>
        </w:rPr>
        <w:t>ation Leaflet for full details:</w:t>
      </w:r>
    </w:p>
    <w:p w14:paraId="7E89A5DB" w14:textId="77777777" w:rsidR="00044B66" w:rsidRPr="00151846" w:rsidRDefault="00044B66" w:rsidP="00241293">
      <w:pPr>
        <w:pStyle w:val="ListParagraph"/>
        <w:numPr>
          <w:ilvl w:val="0"/>
          <w:numId w:val="16"/>
        </w:numPr>
        <w:rPr>
          <w:rFonts w:ascii="Arial" w:eastAsia="Times New Roman" w:hAnsi="Arial" w:cs="Arial"/>
        </w:rPr>
      </w:pPr>
      <w:r w:rsidRPr="00151846">
        <w:rPr>
          <w:rFonts w:ascii="Arial" w:eastAsia="Times New Roman" w:hAnsi="Arial" w:cs="Arial"/>
        </w:rPr>
        <w:t xml:space="preserve">Take tablet first thing in the morning after an overnight fast and before the first food or drink of the day </w:t>
      </w:r>
      <w:r w:rsidRPr="00151846">
        <w:rPr>
          <w:rFonts w:ascii="Arial" w:eastAsia="Times New Roman" w:hAnsi="Arial" w:cs="Arial"/>
          <w:color w:val="000000"/>
        </w:rPr>
        <w:t xml:space="preserve">and do not eat or take other medicines for 30minutes to </w:t>
      </w:r>
      <w:r w:rsidRPr="00151846">
        <w:rPr>
          <w:rFonts w:ascii="Arial" w:eastAsia="Times New Roman" w:hAnsi="Arial" w:cs="Arial"/>
        </w:rPr>
        <w:t>1 hour</w:t>
      </w:r>
      <w:r w:rsidRPr="00151846">
        <w:rPr>
          <w:rFonts w:ascii="Arial" w:eastAsia="Times New Roman" w:hAnsi="Arial" w:cs="Arial"/>
          <w:color w:val="000000"/>
        </w:rPr>
        <w:t xml:space="preserve"> after taking the tablet. </w:t>
      </w:r>
    </w:p>
    <w:p w14:paraId="01ACB2CE" w14:textId="77777777" w:rsidR="00044B66" w:rsidRPr="00151846" w:rsidRDefault="00044B66" w:rsidP="00241293">
      <w:pPr>
        <w:pStyle w:val="ListParagraph"/>
        <w:numPr>
          <w:ilvl w:val="0"/>
          <w:numId w:val="16"/>
        </w:numPr>
        <w:rPr>
          <w:rFonts w:ascii="Arial" w:eastAsia="Times New Roman" w:hAnsi="Arial" w:cs="Arial"/>
        </w:rPr>
      </w:pPr>
      <w:r w:rsidRPr="00151846">
        <w:rPr>
          <w:rFonts w:ascii="Arial" w:eastAsia="Times New Roman" w:hAnsi="Arial" w:cs="Arial"/>
        </w:rPr>
        <w:t xml:space="preserve">The tablet should be swallowed whole with a full glass of plain water while standing or sitting in an upright position. </w:t>
      </w:r>
    </w:p>
    <w:p w14:paraId="59544035" w14:textId="77777777" w:rsidR="00044B66" w:rsidRPr="00151846" w:rsidRDefault="00044B66" w:rsidP="00241293">
      <w:pPr>
        <w:pStyle w:val="ListParagraph"/>
        <w:numPr>
          <w:ilvl w:val="0"/>
          <w:numId w:val="16"/>
        </w:numPr>
        <w:rPr>
          <w:rFonts w:ascii="Arial" w:eastAsia="Times New Roman" w:hAnsi="Arial" w:cs="Arial"/>
        </w:rPr>
      </w:pPr>
      <w:r w:rsidRPr="00151846">
        <w:rPr>
          <w:rFonts w:ascii="Arial" w:eastAsia="Times New Roman" w:hAnsi="Arial" w:cs="Arial"/>
        </w:rPr>
        <w:t xml:space="preserve">Patients should not lie down for 60 minutes after taking ibandronate. </w:t>
      </w:r>
    </w:p>
    <w:p w14:paraId="10301404" w14:textId="77777777" w:rsidR="00044B66" w:rsidRPr="00151846" w:rsidRDefault="00044B66" w:rsidP="00241293">
      <w:pPr>
        <w:pStyle w:val="ListParagraph"/>
        <w:numPr>
          <w:ilvl w:val="0"/>
          <w:numId w:val="16"/>
        </w:numPr>
        <w:rPr>
          <w:rFonts w:ascii="Arial" w:eastAsia="Times New Roman" w:hAnsi="Arial" w:cs="Arial"/>
        </w:rPr>
      </w:pPr>
      <w:r w:rsidRPr="00151846">
        <w:rPr>
          <w:rFonts w:ascii="Arial" w:eastAsia="Times New Roman" w:hAnsi="Arial" w:cs="Arial"/>
        </w:rPr>
        <w:t xml:space="preserve">Patients should not chew or suck the tablet because of a potential for oropharyngeal ulceration. </w:t>
      </w:r>
    </w:p>
    <w:p w14:paraId="1F7C9102" w14:textId="77777777" w:rsidR="00044B66" w:rsidRPr="00151846" w:rsidRDefault="00044B66" w:rsidP="00241293">
      <w:pPr>
        <w:pStyle w:val="ListParagraph"/>
        <w:numPr>
          <w:ilvl w:val="0"/>
          <w:numId w:val="16"/>
        </w:numPr>
        <w:rPr>
          <w:rFonts w:ascii="Arial" w:eastAsia="Times New Roman" w:hAnsi="Arial" w:cs="Arial"/>
          <w:b/>
          <w:bCs/>
        </w:rPr>
      </w:pPr>
      <w:r w:rsidRPr="00151846">
        <w:rPr>
          <w:rFonts w:ascii="Arial" w:eastAsia="Times New Roman" w:hAnsi="Arial" w:cs="Arial"/>
        </w:rPr>
        <w:t>Plain water is the only drink that should be taken with ibandronate. Please note that some mineral waters may have a higher concentration of calcium and therefore should not be used.</w:t>
      </w:r>
    </w:p>
    <w:p w14:paraId="08D3AC02"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t xml:space="preserve">Patients and </w:t>
      </w:r>
      <w:proofErr w:type="spellStart"/>
      <w:r w:rsidRPr="00151846">
        <w:rPr>
          <w:rFonts w:ascii="Arial" w:eastAsia="Times New Roman" w:hAnsi="Arial" w:cs="Arial"/>
          <w:lang w:bidi="en-GB"/>
        </w:rPr>
        <w:t>carers</w:t>
      </w:r>
      <w:proofErr w:type="spellEnd"/>
      <w:r w:rsidRPr="00151846">
        <w:rPr>
          <w:rFonts w:ascii="Arial" w:eastAsia="Times New Roman" w:hAnsi="Arial" w:cs="Arial"/>
          <w:lang w:bidi="en-GB"/>
        </w:rPr>
        <w:t xml:space="preserve"> should be advised to stop tablets and seek medical attention for symptoms of </w:t>
      </w:r>
      <w:proofErr w:type="spellStart"/>
      <w:r w:rsidRPr="00151846">
        <w:rPr>
          <w:rFonts w:ascii="Arial" w:eastAsia="Times New Roman" w:hAnsi="Arial" w:cs="Arial"/>
          <w:lang w:bidi="en-GB"/>
        </w:rPr>
        <w:t>oesophageal</w:t>
      </w:r>
      <w:proofErr w:type="spellEnd"/>
      <w:r w:rsidRPr="00151846">
        <w:rPr>
          <w:rFonts w:ascii="Arial" w:eastAsia="Times New Roman" w:hAnsi="Arial" w:cs="Arial"/>
          <w:lang w:bidi="en-GB"/>
        </w:rPr>
        <w:t xml:space="preserve"> irritation such as dysphagia, pain on swallowing, retrosternal pain, or heartburn.</w:t>
      </w:r>
    </w:p>
    <w:p w14:paraId="3B7A77A2"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t>During treatment patients should maintain good oral hygiene, receive routine dental check-ups, and report any oral symptoms such as dental mobility, pain or swelling, non-healing sores or discharge to a doctor and dentist.</w:t>
      </w:r>
    </w:p>
    <w:p w14:paraId="644C5073"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t>Patients should be advised to report any ear pain, discharge from the ear or an ear infection during treatment with a bisphosphonate.</w:t>
      </w:r>
    </w:p>
    <w:p w14:paraId="5EB73A5F" w14:textId="77777777" w:rsidR="00044B66" w:rsidRPr="00151846" w:rsidRDefault="00044B66" w:rsidP="00241293">
      <w:pPr>
        <w:pStyle w:val="ListParagraph"/>
        <w:numPr>
          <w:ilvl w:val="0"/>
          <w:numId w:val="16"/>
        </w:numPr>
        <w:ind w:left="284" w:hanging="284"/>
        <w:rPr>
          <w:rFonts w:ascii="Arial" w:eastAsia="Times New Roman" w:hAnsi="Arial" w:cs="Arial"/>
          <w:lang w:bidi="en-GB"/>
        </w:rPr>
      </w:pPr>
      <w:r w:rsidRPr="00151846">
        <w:rPr>
          <w:rFonts w:ascii="Arial" w:eastAsia="Times New Roman" w:hAnsi="Arial" w:cs="Arial"/>
          <w:lang w:bidi="en-GB"/>
        </w:rPr>
        <w:t>Patients should be advised to report any thigh, hip, or groin pain during treatment with a bisphosphonate.</w:t>
      </w:r>
    </w:p>
    <w:p w14:paraId="36472C3F" w14:textId="77777777" w:rsidR="00044B66" w:rsidRPr="003F7276" w:rsidRDefault="00044B66" w:rsidP="00241293">
      <w:pPr>
        <w:numPr>
          <w:ilvl w:val="0"/>
          <w:numId w:val="15"/>
        </w:numPr>
        <w:ind w:left="284" w:hanging="284"/>
        <w:rPr>
          <w:rFonts w:ascii="Arial" w:eastAsia="Times New Roman" w:hAnsi="Arial" w:cs="Arial"/>
          <w:lang w:bidi="en-GB"/>
        </w:rPr>
      </w:pPr>
      <w:r w:rsidRPr="003F7276">
        <w:rPr>
          <w:rFonts w:ascii="Arial" w:eastAsia="Times New Roman" w:hAnsi="Arial" w:cs="Arial"/>
          <w:lang w:bidi="en-GB"/>
        </w:rPr>
        <w:t>Patients should be advised to contact their GP if they have any concerns with the medication.</w:t>
      </w:r>
    </w:p>
    <w:p w14:paraId="63794FA4" w14:textId="77777777" w:rsidR="00044B66" w:rsidRDefault="00044B66" w:rsidP="00044B66">
      <w:pPr>
        <w:spacing w:after="200" w:line="276" w:lineRule="auto"/>
        <w:rPr>
          <w:rFonts w:ascii="Arial" w:eastAsia="Times New Roman" w:hAnsi="Arial" w:cs="Arial"/>
        </w:rPr>
      </w:pPr>
      <w:r>
        <w:rPr>
          <w:rFonts w:ascii="Arial" w:eastAsia="Times New Roman" w:hAnsi="Arial" w:cs="Arial"/>
        </w:rPr>
        <w:br w:type="page"/>
      </w:r>
    </w:p>
    <w:p w14:paraId="3FF12FDA" w14:textId="77777777" w:rsidR="00044B66" w:rsidRDefault="00044B66" w:rsidP="00044B66">
      <w:pPr>
        <w:rPr>
          <w:rFonts w:ascii="Arial" w:eastAsia="Times New Roman" w:hAnsi="Arial" w:cs="Arial"/>
        </w:rPr>
      </w:pPr>
    </w:p>
    <w:p w14:paraId="22C59FE7" w14:textId="77777777" w:rsidR="00044B66" w:rsidRPr="00155D5A" w:rsidRDefault="00044B66" w:rsidP="00241293">
      <w:pPr>
        <w:pStyle w:val="ListParagraph"/>
        <w:numPr>
          <w:ilvl w:val="0"/>
          <w:numId w:val="23"/>
        </w:numPr>
        <w:ind w:left="426"/>
        <w:rPr>
          <w:rFonts w:ascii="Arial" w:eastAsia="Times New Roman" w:hAnsi="Arial" w:cs="Arial"/>
          <w:b/>
          <w:bCs/>
        </w:rPr>
      </w:pPr>
      <w:r w:rsidRPr="00155D5A">
        <w:rPr>
          <w:rFonts w:ascii="Arial" w:eastAsia="Times New Roman" w:hAnsi="Arial" w:cs="Arial"/>
          <w:b/>
          <w:bCs/>
        </w:rPr>
        <w:t>Responsibilities of clinicians involved</w:t>
      </w:r>
    </w:p>
    <w:tbl>
      <w:tblPr>
        <w:tblpPr w:leftFromText="180" w:rightFromText="180" w:vertAnchor="text" w:horzAnchor="margin" w:tblpXSpec="center" w:tblpY="420"/>
        <w:tblW w:w="11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9"/>
        <w:gridCol w:w="4661"/>
        <w:gridCol w:w="5009"/>
      </w:tblGrid>
      <w:tr w:rsidR="00044B66" w:rsidRPr="00EF64CA" w14:paraId="196962CB" w14:textId="77777777" w:rsidTr="00760C44">
        <w:trPr>
          <w:trHeight w:val="571"/>
        </w:trPr>
        <w:tc>
          <w:tcPr>
            <w:tcW w:w="1369" w:type="dxa"/>
            <w:tcBorders>
              <w:top w:val="single" w:sz="4" w:space="0" w:color="auto"/>
              <w:left w:val="single" w:sz="4" w:space="0" w:color="auto"/>
              <w:bottom w:val="single" w:sz="4" w:space="0" w:color="auto"/>
              <w:right w:val="single" w:sz="4" w:space="0" w:color="auto"/>
            </w:tcBorders>
          </w:tcPr>
          <w:p w14:paraId="1294355E" w14:textId="77777777" w:rsidR="00044B66" w:rsidRPr="00EF64CA" w:rsidRDefault="00044B66" w:rsidP="00760C44">
            <w:pPr>
              <w:rPr>
                <w:rFonts w:ascii="Arial" w:eastAsia="Times New Roman" w:hAnsi="Arial" w:cs="Arial"/>
                <w:b/>
                <w:bCs/>
                <w:sz w:val="20"/>
                <w:szCs w:val="20"/>
              </w:rPr>
            </w:pPr>
            <w:r w:rsidRPr="00EF64CA">
              <w:rPr>
                <w:rFonts w:ascii="Arial" w:eastAsia="Times New Roman" w:hAnsi="Arial" w:cs="Arial"/>
                <w:b/>
                <w:bCs/>
                <w:sz w:val="20"/>
                <w:szCs w:val="20"/>
              </w:rPr>
              <w:t>Stage of Treatment</w:t>
            </w:r>
          </w:p>
        </w:tc>
        <w:tc>
          <w:tcPr>
            <w:tcW w:w="4661" w:type="dxa"/>
            <w:tcBorders>
              <w:top w:val="single" w:sz="4" w:space="0" w:color="auto"/>
              <w:left w:val="single" w:sz="4" w:space="0" w:color="auto"/>
              <w:bottom w:val="single" w:sz="4" w:space="0" w:color="auto"/>
              <w:right w:val="single" w:sz="4" w:space="0" w:color="auto"/>
            </w:tcBorders>
          </w:tcPr>
          <w:p w14:paraId="5ACFFF75" w14:textId="77777777" w:rsidR="00044B66" w:rsidRPr="00EF64CA" w:rsidRDefault="00044B66" w:rsidP="00760C44">
            <w:pPr>
              <w:rPr>
                <w:rFonts w:ascii="Arial" w:eastAsia="Times New Roman" w:hAnsi="Arial" w:cs="Arial"/>
                <w:b/>
                <w:bCs/>
                <w:sz w:val="20"/>
                <w:szCs w:val="20"/>
              </w:rPr>
            </w:pPr>
            <w:r w:rsidRPr="00EF64CA">
              <w:rPr>
                <w:rFonts w:ascii="Arial" w:eastAsia="Times New Roman" w:hAnsi="Arial" w:cs="Arial"/>
                <w:b/>
                <w:bCs/>
                <w:sz w:val="20"/>
                <w:szCs w:val="20"/>
              </w:rPr>
              <w:t>Hospital Specialist</w:t>
            </w:r>
          </w:p>
        </w:tc>
        <w:tc>
          <w:tcPr>
            <w:tcW w:w="5009" w:type="dxa"/>
            <w:tcBorders>
              <w:top w:val="single" w:sz="4" w:space="0" w:color="auto"/>
              <w:left w:val="single" w:sz="4" w:space="0" w:color="auto"/>
              <w:bottom w:val="single" w:sz="4" w:space="0" w:color="auto"/>
              <w:right w:val="single" w:sz="4" w:space="0" w:color="auto"/>
            </w:tcBorders>
          </w:tcPr>
          <w:p w14:paraId="78882110" w14:textId="77777777" w:rsidR="00044B66" w:rsidRPr="00EF64CA" w:rsidRDefault="00044B66" w:rsidP="00760C44">
            <w:pPr>
              <w:rPr>
                <w:rFonts w:ascii="Arial" w:eastAsia="Times New Roman" w:hAnsi="Arial" w:cs="Arial"/>
                <w:b/>
                <w:bCs/>
                <w:sz w:val="20"/>
                <w:szCs w:val="20"/>
              </w:rPr>
            </w:pPr>
            <w:r w:rsidRPr="00EF64CA">
              <w:rPr>
                <w:rFonts w:ascii="Arial" w:eastAsia="Times New Roman" w:hAnsi="Arial" w:cs="Arial"/>
                <w:b/>
                <w:bCs/>
                <w:sz w:val="20"/>
                <w:szCs w:val="20"/>
              </w:rPr>
              <w:t>General Practitioner</w:t>
            </w:r>
          </w:p>
        </w:tc>
      </w:tr>
      <w:tr w:rsidR="00044B66" w:rsidRPr="00EF64CA" w14:paraId="0F73C7B7" w14:textId="77777777" w:rsidTr="00760C44">
        <w:trPr>
          <w:trHeight w:val="9290"/>
        </w:trPr>
        <w:tc>
          <w:tcPr>
            <w:tcW w:w="1369" w:type="dxa"/>
            <w:tcBorders>
              <w:top w:val="single" w:sz="4" w:space="0" w:color="auto"/>
              <w:left w:val="single" w:sz="4" w:space="0" w:color="auto"/>
              <w:bottom w:val="single" w:sz="4" w:space="0" w:color="auto"/>
              <w:right w:val="single" w:sz="4" w:space="0" w:color="auto"/>
            </w:tcBorders>
          </w:tcPr>
          <w:p w14:paraId="7AFFC282"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Initiation</w:t>
            </w:r>
          </w:p>
        </w:tc>
        <w:tc>
          <w:tcPr>
            <w:tcW w:w="4661" w:type="dxa"/>
            <w:tcBorders>
              <w:top w:val="single" w:sz="4" w:space="0" w:color="auto"/>
              <w:left w:val="single" w:sz="4" w:space="0" w:color="auto"/>
              <w:bottom w:val="single" w:sz="4" w:space="0" w:color="auto"/>
              <w:right w:val="single" w:sz="4" w:space="0" w:color="auto"/>
            </w:tcBorders>
          </w:tcPr>
          <w:p w14:paraId="40D60158"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Assessing the patient and establishing a need for bisphosphonate treatment.</w:t>
            </w:r>
          </w:p>
          <w:p w14:paraId="6CFE5A38"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Discuss rational for treatment and make patient aware of unlicensed indication (not included in PIL).</w:t>
            </w:r>
          </w:p>
          <w:p w14:paraId="74D7FA98"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Verbal consent from patient regarding unlicensed use is acceptable and entry on patient’s notes.</w:t>
            </w:r>
          </w:p>
          <w:p w14:paraId="1CB59AEC"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Prescribe initial 28 days’ supply.</w:t>
            </w:r>
          </w:p>
          <w:p w14:paraId="7E051364"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Stop other bisphosphonates.</w:t>
            </w:r>
          </w:p>
          <w:p w14:paraId="23C5E45B"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 xml:space="preserve">Instruct patient on how to take oral </w:t>
            </w:r>
            <w:proofErr w:type="spellStart"/>
            <w:r w:rsidRPr="00EF64CA">
              <w:rPr>
                <w:rFonts w:ascii="Arial" w:eastAsia="Times New Roman" w:hAnsi="Arial" w:cs="Arial"/>
                <w:sz w:val="20"/>
                <w:szCs w:val="20"/>
                <w:lang w:bidi="en-GB"/>
              </w:rPr>
              <w:t>ibandronic</w:t>
            </w:r>
            <w:proofErr w:type="spellEnd"/>
            <w:r w:rsidRPr="00EF64CA">
              <w:rPr>
                <w:rFonts w:ascii="Arial" w:eastAsia="Times New Roman" w:hAnsi="Arial" w:cs="Arial"/>
                <w:sz w:val="20"/>
                <w:szCs w:val="20"/>
                <w:lang w:bidi="en-GB"/>
              </w:rPr>
              <w:t xml:space="preserve"> acid safely and reliably.</w:t>
            </w:r>
          </w:p>
          <w:p w14:paraId="79D648CD"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 xml:space="preserve">Ensure patient can follow administration recommendations. </w:t>
            </w:r>
          </w:p>
          <w:p w14:paraId="2CB3E732"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Discuss potential side effects.</w:t>
            </w:r>
          </w:p>
          <w:p w14:paraId="0CB9336C"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Baseline blood tests – including renal function and serum calcium.</w:t>
            </w:r>
          </w:p>
          <w:p w14:paraId="37F669F0"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 xml:space="preserve">Correct </w:t>
            </w:r>
            <w:proofErr w:type="spellStart"/>
            <w:r w:rsidRPr="00EF64CA">
              <w:rPr>
                <w:rFonts w:ascii="Arial" w:eastAsia="Times New Roman" w:hAnsi="Arial" w:cs="Arial"/>
                <w:sz w:val="20"/>
                <w:szCs w:val="20"/>
                <w:lang w:bidi="en-GB"/>
              </w:rPr>
              <w:t>hypocalcaemia</w:t>
            </w:r>
            <w:proofErr w:type="spellEnd"/>
            <w:r w:rsidRPr="00EF64CA">
              <w:rPr>
                <w:rFonts w:ascii="Arial" w:eastAsia="Times New Roman" w:hAnsi="Arial" w:cs="Arial"/>
                <w:sz w:val="20"/>
                <w:szCs w:val="20"/>
                <w:lang w:bidi="en-GB"/>
              </w:rPr>
              <w:t xml:space="preserve"> if present.</w:t>
            </w:r>
          </w:p>
          <w:p w14:paraId="034ADC68" w14:textId="77777777" w:rsidR="00044B66" w:rsidRPr="00EF64CA" w:rsidRDefault="00044B66" w:rsidP="00760C44">
            <w:pPr>
              <w:rPr>
                <w:rFonts w:ascii="Arial" w:eastAsia="Times New Roman" w:hAnsi="Arial" w:cs="Arial"/>
                <w:sz w:val="20"/>
                <w:szCs w:val="20"/>
                <w:lang w:bidi="en-GB"/>
              </w:rPr>
            </w:pPr>
          </w:p>
          <w:p w14:paraId="69F62871"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 xml:space="preserve">All patients should be advised to take supplemental vitamin D 20-25 micrograms (800–1000 units) daily bought over the counter (OTC) from pharmacies, </w:t>
            </w:r>
            <w:proofErr w:type="gramStart"/>
            <w:r w:rsidRPr="00EF64CA">
              <w:rPr>
                <w:rFonts w:ascii="Arial" w:eastAsia="Times New Roman" w:hAnsi="Arial" w:cs="Arial"/>
                <w:sz w:val="20"/>
                <w:szCs w:val="20"/>
                <w:lang w:bidi="en-GB"/>
              </w:rPr>
              <w:t>supermarkets</w:t>
            </w:r>
            <w:proofErr w:type="gramEnd"/>
            <w:r w:rsidRPr="00EF64CA">
              <w:rPr>
                <w:rFonts w:ascii="Arial" w:eastAsia="Times New Roman" w:hAnsi="Arial" w:cs="Arial"/>
                <w:sz w:val="20"/>
                <w:szCs w:val="20"/>
                <w:lang w:bidi="en-GB"/>
              </w:rPr>
              <w:t xml:space="preserve"> or health food shops.</w:t>
            </w:r>
          </w:p>
          <w:p w14:paraId="237A6CC4"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If dietary intake of calcium is low, combined calcium and vitamin D preparation can be bought OTC (see more advice on Vitamin D guideline)</w:t>
            </w:r>
          </w:p>
          <w:p w14:paraId="2AAB7365"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Include in GP letter whether calcium and vitamin D needs to be prescribed or patient has been advised to buy OTC.</w:t>
            </w:r>
          </w:p>
          <w:p w14:paraId="0E76BB84" w14:textId="77777777" w:rsidR="00044B66" w:rsidRPr="00EF64CA" w:rsidRDefault="00044B66" w:rsidP="00760C44">
            <w:pPr>
              <w:rPr>
                <w:rFonts w:ascii="Arial" w:eastAsia="Times New Roman" w:hAnsi="Arial" w:cs="Arial"/>
                <w:sz w:val="20"/>
                <w:szCs w:val="20"/>
              </w:rPr>
            </w:pPr>
          </w:p>
          <w:p w14:paraId="7C0477EA"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Contacting the GP to invite shared care for the patient.</w:t>
            </w:r>
          </w:p>
        </w:tc>
        <w:tc>
          <w:tcPr>
            <w:tcW w:w="5009" w:type="dxa"/>
            <w:tcBorders>
              <w:top w:val="single" w:sz="4" w:space="0" w:color="auto"/>
              <w:left w:val="single" w:sz="4" w:space="0" w:color="auto"/>
              <w:bottom w:val="single" w:sz="4" w:space="0" w:color="auto"/>
              <w:right w:val="single" w:sz="4" w:space="0" w:color="auto"/>
            </w:tcBorders>
          </w:tcPr>
          <w:p w14:paraId="5279385A" w14:textId="77777777" w:rsidR="00044B66" w:rsidRPr="00EF64CA" w:rsidRDefault="00044B66" w:rsidP="00760C44">
            <w:pPr>
              <w:rPr>
                <w:rFonts w:ascii="Arial" w:eastAsia="Times New Roman" w:hAnsi="Arial" w:cs="Arial"/>
                <w:sz w:val="20"/>
                <w:szCs w:val="20"/>
              </w:rPr>
            </w:pPr>
          </w:p>
        </w:tc>
      </w:tr>
      <w:tr w:rsidR="00044B66" w:rsidRPr="00EF64CA" w14:paraId="0CF75621" w14:textId="77777777" w:rsidTr="00760C44">
        <w:trPr>
          <w:trHeight w:val="3382"/>
        </w:trPr>
        <w:tc>
          <w:tcPr>
            <w:tcW w:w="1369" w:type="dxa"/>
            <w:tcBorders>
              <w:top w:val="single" w:sz="4" w:space="0" w:color="auto"/>
              <w:left w:val="single" w:sz="4" w:space="0" w:color="auto"/>
              <w:bottom w:val="single" w:sz="4" w:space="0" w:color="auto"/>
              <w:right w:val="single" w:sz="4" w:space="0" w:color="auto"/>
            </w:tcBorders>
          </w:tcPr>
          <w:p w14:paraId="67C163FC"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lastRenderedPageBreak/>
              <w:t xml:space="preserve">Maintenance </w:t>
            </w:r>
          </w:p>
        </w:tc>
        <w:tc>
          <w:tcPr>
            <w:tcW w:w="4661" w:type="dxa"/>
            <w:tcBorders>
              <w:top w:val="single" w:sz="4" w:space="0" w:color="auto"/>
              <w:left w:val="single" w:sz="4" w:space="0" w:color="auto"/>
              <w:bottom w:val="single" w:sz="4" w:space="0" w:color="auto"/>
              <w:right w:val="single" w:sz="4" w:space="0" w:color="auto"/>
            </w:tcBorders>
          </w:tcPr>
          <w:p w14:paraId="0125B6B5"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Assessing the continued appropriateness for ibandronate on yearly basis.</w:t>
            </w:r>
          </w:p>
          <w:p w14:paraId="1EDEF068"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Reviewing any concerns regarding disease progression from the GP within 2 weeks.</w:t>
            </w:r>
          </w:p>
          <w:p w14:paraId="69B99787"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Ensuring that all other medical professionals in the shared care team are kept informed of any changes in the patient’s circumstances.</w:t>
            </w:r>
          </w:p>
          <w:p w14:paraId="0FF701E8" w14:textId="77777777" w:rsidR="00044B66" w:rsidRPr="00EF64CA" w:rsidRDefault="00044B66" w:rsidP="00760C44">
            <w:pPr>
              <w:rPr>
                <w:rFonts w:ascii="Arial" w:eastAsia="Times New Roman" w:hAnsi="Arial" w:cs="Arial"/>
                <w:sz w:val="20"/>
                <w:szCs w:val="20"/>
              </w:rPr>
            </w:pPr>
          </w:p>
        </w:tc>
        <w:tc>
          <w:tcPr>
            <w:tcW w:w="5009" w:type="dxa"/>
            <w:tcBorders>
              <w:top w:val="single" w:sz="4" w:space="0" w:color="auto"/>
              <w:left w:val="single" w:sz="4" w:space="0" w:color="auto"/>
              <w:bottom w:val="single" w:sz="4" w:space="0" w:color="auto"/>
              <w:right w:val="single" w:sz="4" w:space="0" w:color="auto"/>
            </w:tcBorders>
          </w:tcPr>
          <w:p w14:paraId="1210D3A3"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rPr>
              <w:t xml:space="preserve">Providing the patient with repeat prescriptions for ibandronate and calcium supplementation as appropriate </w:t>
            </w:r>
            <w:r w:rsidRPr="00EF64CA">
              <w:rPr>
                <w:rFonts w:ascii="Arial" w:eastAsia="Times New Roman" w:hAnsi="Arial" w:cs="Arial"/>
                <w:sz w:val="20"/>
                <w:szCs w:val="20"/>
                <w:lang w:bidi="en-GB"/>
              </w:rPr>
              <w:t xml:space="preserve">for length of time specified by hospital specialist. </w:t>
            </w:r>
          </w:p>
          <w:p w14:paraId="2A93CA17"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Ensure other bisphosphonates are stopped during this period.</w:t>
            </w:r>
          </w:p>
          <w:p w14:paraId="02BC9ED7"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lang w:bidi="en-GB"/>
              </w:rPr>
              <w:t>For patients taking a regular NSAID review and consider whether this can be discontinued.</w:t>
            </w:r>
          </w:p>
          <w:p w14:paraId="1926405A" w14:textId="77777777" w:rsidR="00044B66" w:rsidRPr="00EF64CA" w:rsidRDefault="00044B66" w:rsidP="00760C44">
            <w:pPr>
              <w:rPr>
                <w:rFonts w:ascii="Arial" w:eastAsia="Times New Roman" w:hAnsi="Arial" w:cs="Arial"/>
                <w:sz w:val="20"/>
                <w:szCs w:val="20"/>
                <w:lang w:bidi="en-GB"/>
              </w:rPr>
            </w:pPr>
            <w:r w:rsidRPr="00EF64CA">
              <w:rPr>
                <w:rFonts w:ascii="Arial" w:eastAsia="Times New Roman" w:hAnsi="Arial" w:cs="Arial"/>
                <w:sz w:val="20"/>
                <w:szCs w:val="20"/>
              </w:rPr>
              <w:t xml:space="preserve">Monitor LFT’s U&amp;E’s, creatinine, serum calcium, phosphate and magnesium, creatinine clearance </w:t>
            </w:r>
            <w:r>
              <w:rPr>
                <w:rFonts w:ascii="Arial" w:eastAsia="Times New Roman" w:hAnsi="Arial" w:cs="Arial"/>
                <w:sz w:val="20"/>
                <w:szCs w:val="20"/>
              </w:rPr>
              <w:t>every three months.</w:t>
            </w:r>
            <w:r w:rsidRPr="00EF64CA">
              <w:rPr>
                <w:rFonts w:ascii="Arial" w:eastAsia="Times New Roman" w:hAnsi="Arial" w:cs="Arial"/>
                <w:sz w:val="20"/>
                <w:szCs w:val="20"/>
              </w:rPr>
              <w:t xml:space="preserve"> </w:t>
            </w:r>
          </w:p>
          <w:p w14:paraId="6B7F708C" w14:textId="77777777" w:rsidR="00044B66" w:rsidRPr="00EF64CA" w:rsidRDefault="00044B66" w:rsidP="00760C44">
            <w:pPr>
              <w:rPr>
                <w:rFonts w:ascii="Arial" w:eastAsia="Times New Roman" w:hAnsi="Arial" w:cs="Arial"/>
                <w:bCs/>
                <w:sz w:val="20"/>
                <w:szCs w:val="20"/>
                <w:lang w:bidi="en-GB"/>
              </w:rPr>
            </w:pPr>
            <w:r w:rsidRPr="00EF64CA">
              <w:rPr>
                <w:rFonts w:ascii="Arial" w:eastAsia="Times New Roman" w:hAnsi="Arial" w:cs="Arial"/>
                <w:bCs/>
                <w:sz w:val="20"/>
                <w:szCs w:val="20"/>
                <w:lang w:bidi="en-GB"/>
              </w:rPr>
              <w:t>Annual review including:</w:t>
            </w:r>
          </w:p>
          <w:p w14:paraId="130D9004" w14:textId="77777777" w:rsidR="00044B66" w:rsidRPr="00EF64CA" w:rsidRDefault="00044B66" w:rsidP="00241293">
            <w:pPr>
              <w:numPr>
                <w:ilvl w:val="1"/>
                <w:numId w:val="19"/>
              </w:numPr>
              <w:ind w:left="425"/>
              <w:rPr>
                <w:rFonts w:ascii="Arial" w:eastAsia="Times New Roman" w:hAnsi="Arial" w:cs="Arial"/>
                <w:sz w:val="20"/>
                <w:szCs w:val="20"/>
                <w:lang w:bidi="en-GB"/>
              </w:rPr>
            </w:pPr>
            <w:r w:rsidRPr="00EF64CA">
              <w:rPr>
                <w:rFonts w:ascii="Arial" w:eastAsia="Times New Roman" w:hAnsi="Arial" w:cs="Arial"/>
                <w:sz w:val="20"/>
                <w:szCs w:val="20"/>
                <w:lang w:bidi="en-GB"/>
              </w:rPr>
              <w:t>Blood tests: renal function and serum calcium:</w:t>
            </w:r>
          </w:p>
          <w:p w14:paraId="0A5AA553" w14:textId="77777777" w:rsidR="00044B66" w:rsidRPr="00EF64CA" w:rsidRDefault="00044B66" w:rsidP="00241293">
            <w:pPr>
              <w:numPr>
                <w:ilvl w:val="1"/>
                <w:numId w:val="19"/>
              </w:numPr>
              <w:ind w:left="425"/>
              <w:rPr>
                <w:rFonts w:ascii="Arial" w:eastAsia="Times New Roman" w:hAnsi="Arial" w:cs="Arial"/>
                <w:sz w:val="20"/>
                <w:szCs w:val="20"/>
                <w:lang w:bidi="en-GB"/>
              </w:rPr>
            </w:pPr>
            <w:r w:rsidRPr="00EF64CA">
              <w:rPr>
                <w:rFonts w:ascii="Arial" w:eastAsia="Times New Roman" w:hAnsi="Arial" w:cs="Arial"/>
                <w:sz w:val="20"/>
                <w:szCs w:val="20"/>
                <w:lang w:bidi="en-GB"/>
              </w:rPr>
              <w:t>If calcium is out of range or renal impairment becomes severe (eGFR/</w:t>
            </w:r>
            <w:proofErr w:type="spellStart"/>
            <w:r w:rsidRPr="00EF64CA">
              <w:rPr>
                <w:rFonts w:ascii="Arial" w:eastAsia="Times New Roman" w:hAnsi="Arial" w:cs="Arial"/>
                <w:sz w:val="20"/>
                <w:szCs w:val="20"/>
                <w:lang w:bidi="en-GB"/>
              </w:rPr>
              <w:t>CrCl</w:t>
            </w:r>
            <w:proofErr w:type="spellEnd"/>
            <w:r w:rsidRPr="00EF64CA">
              <w:rPr>
                <w:rFonts w:ascii="Arial" w:eastAsia="Times New Roman" w:hAnsi="Arial" w:cs="Arial"/>
                <w:sz w:val="20"/>
                <w:szCs w:val="20"/>
                <w:lang w:bidi="en-GB"/>
              </w:rPr>
              <w:t xml:space="preserve"> &lt; 30 mL/min/1.73m</w:t>
            </w:r>
            <w:r w:rsidRPr="00EF64CA">
              <w:rPr>
                <w:rFonts w:ascii="Arial" w:eastAsia="Times New Roman" w:hAnsi="Arial" w:cs="Arial"/>
                <w:sz w:val="20"/>
                <w:szCs w:val="20"/>
                <w:vertAlign w:val="superscript"/>
                <w:lang w:bidi="en-GB"/>
              </w:rPr>
              <w:t>2</w:t>
            </w:r>
            <w:r w:rsidRPr="00EF64CA">
              <w:rPr>
                <w:rFonts w:ascii="Arial" w:eastAsia="Times New Roman" w:hAnsi="Arial" w:cs="Arial"/>
                <w:sz w:val="20"/>
                <w:szCs w:val="20"/>
                <w:lang w:bidi="en-GB"/>
              </w:rPr>
              <w:t xml:space="preserve">) discontinue </w:t>
            </w:r>
            <w:proofErr w:type="spellStart"/>
            <w:r w:rsidRPr="00EF64CA">
              <w:rPr>
                <w:rFonts w:ascii="Arial" w:eastAsia="Times New Roman" w:hAnsi="Arial" w:cs="Arial"/>
                <w:sz w:val="20"/>
                <w:szCs w:val="20"/>
                <w:lang w:bidi="en-GB"/>
              </w:rPr>
              <w:t>ibandronic</w:t>
            </w:r>
            <w:proofErr w:type="spellEnd"/>
            <w:r w:rsidRPr="00EF64CA">
              <w:rPr>
                <w:rFonts w:ascii="Arial" w:eastAsia="Times New Roman" w:hAnsi="Arial" w:cs="Arial"/>
                <w:sz w:val="20"/>
                <w:szCs w:val="20"/>
                <w:lang w:bidi="en-GB"/>
              </w:rPr>
              <w:t xml:space="preserve"> acid and contact hospital specialist for advice.</w:t>
            </w:r>
          </w:p>
          <w:p w14:paraId="528519A6" w14:textId="77777777" w:rsidR="00044B66" w:rsidRPr="00EF64CA" w:rsidRDefault="00044B66" w:rsidP="00241293">
            <w:pPr>
              <w:numPr>
                <w:ilvl w:val="1"/>
                <w:numId w:val="19"/>
              </w:numPr>
              <w:ind w:left="425"/>
              <w:rPr>
                <w:rFonts w:ascii="Arial" w:eastAsia="Times New Roman" w:hAnsi="Arial" w:cs="Arial"/>
                <w:sz w:val="20"/>
                <w:szCs w:val="20"/>
                <w:lang w:bidi="en-GB"/>
              </w:rPr>
            </w:pPr>
            <w:r w:rsidRPr="00EF64CA">
              <w:rPr>
                <w:rFonts w:ascii="Arial" w:eastAsia="Times New Roman" w:hAnsi="Arial" w:cs="Arial"/>
                <w:sz w:val="20"/>
                <w:szCs w:val="20"/>
                <w:lang w:bidi="en-GB"/>
              </w:rPr>
              <w:t>Reduce dose if eGFR/</w:t>
            </w:r>
            <w:proofErr w:type="spellStart"/>
            <w:r w:rsidRPr="00EF64CA">
              <w:rPr>
                <w:rFonts w:ascii="Arial" w:eastAsia="Times New Roman" w:hAnsi="Arial" w:cs="Arial"/>
                <w:sz w:val="20"/>
                <w:szCs w:val="20"/>
                <w:lang w:bidi="en-GB"/>
              </w:rPr>
              <w:t>CrCl</w:t>
            </w:r>
            <w:proofErr w:type="spellEnd"/>
            <w:r w:rsidRPr="00EF64CA">
              <w:rPr>
                <w:rFonts w:ascii="Arial" w:eastAsia="Times New Roman" w:hAnsi="Arial" w:cs="Arial"/>
                <w:sz w:val="20"/>
                <w:szCs w:val="20"/>
                <w:lang w:bidi="en-GB"/>
              </w:rPr>
              <w:t xml:space="preserve"> &lt; 50 mL/min/1.73m</w:t>
            </w:r>
            <w:r w:rsidRPr="00EF64CA">
              <w:rPr>
                <w:rFonts w:ascii="Arial" w:eastAsia="Times New Roman" w:hAnsi="Arial" w:cs="Arial"/>
                <w:sz w:val="20"/>
                <w:szCs w:val="20"/>
                <w:vertAlign w:val="superscript"/>
                <w:lang w:bidi="en-GB"/>
              </w:rPr>
              <w:t>2</w:t>
            </w:r>
            <w:r w:rsidRPr="00EF64CA">
              <w:rPr>
                <w:rFonts w:ascii="Arial" w:eastAsia="Times New Roman" w:hAnsi="Arial" w:cs="Arial"/>
                <w:sz w:val="20"/>
                <w:szCs w:val="20"/>
                <w:lang w:bidi="en-GB"/>
              </w:rPr>
              <w:t xml:space="preserve"> (see ‘patients with renal impairment’).</w:t>
            </w:r>
          </w:p>
          <w:p w14:paraId="5735CD7F" w14:textId="77777777" w:rsidR="00044B66" w:rsidRPr="00EF64CA" w:rsidRDefault="00044B66" w:rsidP="00241293">
            <w:pPr>
              <w:numPr>
                <w:ilvl w:val="1"/>
                <w:numId w:val="19"/>
              </w:numPr>
              <w:ind w:left="425"/>
              <w:rPr>
                <w:rFonts w:ascii="Arial" w:eastAsia="Times New Roman" w:hAnsi="Arial" w:cs="Arial"/>
                <w:sz w:val="20"/>
                <w:szCs w:val="20"/>
                <w:lang w:bidi="en-GB"/>
              </w:rPr>
            </w:pPr>
            <w:r w:rsidRPr="00EF64CA">
              <w:rPr>
                <w:rFonts w:ascii="Arial" w:eastAsia="Times New Roman" w:hAnsi="Arial" w:cs="Arial"/>
                <w:sz w:val="20"/>
                <w:szCs w:val="20"/>
                <w:lang w:bidi="en-GB"/>
              </w:rPr>
              <w:t xml:space="preserve">Medication review: to check for compliance; side effects and tolerability; ensure patient and/or </w:t>
            </w:r>
            <w:proofErr w:type="spellStart"/>
            <w:r w:rsidRPr="00EF64CA">
              <w:rPr>
                <w:rFonts w:ascii="Arial" w:eastAsia="Times New Roman" w:hAnsi="Arial" w:cs="Arial"/>
                <w:sz w:val="20"/>
                <w:szCs w:val="20"/>
                <w:lang w:bidi="en-GB"/>
              </w:rPr>
              <w:t>carer</w:t>
            </w:r>
            <w:proofErr w:type="spellEnd"/>
            <w:r w:rsidRPr="00EF64CA">
              <w:rPr>
                <w:rFonts w:ascii="Arial" w:eastAsia="Times New Roman" w:hAnsi="Arial" w:cs="Arial"/>
                <w:sz w:val="20"/>
                <w:szCs w:val="20"/>
                <w:lang w:bidi="en-GB"/>
              </w:rPr>
              <w:t xml:space="preserve"> understands how to administer tablets; check oral hygiene advice is being followed.</w:t>
            </w:r>
          </w:p>
          <w:p w14:paraId="461952F5" w14:textId="77777777" w:rsidR="00044B66" w:rsidRPr="00EF64CA" w:rsidRDefault="00044B66" w:rsidP="00241293">
            <w:pPr>
              <w:numPr>
                <w:ilvl w:val="1"/>
                <w:numId w:val="19"/>
              </w:numPr>
              <w:ind w:left="425"/>
              <w:rPr>
                <w:rFonts w:ascii="Arial" w:eastAsia="Times New Roman" w:hAnsi="Arial" w:cs="Arial"/>
                <w:sz w:val="20"/>
                <w:szCs w:val="20"/>
                <w:lang w:bidi="en-GB"/>
              </w:rPr>
            </w:pPr>
            <w:r w:rsidRPr="00EF64CA">
              <w:rPr>
                <w:rFonts w:ascii="Arial" w:eastAsia="Times New Roman" w:hAnsi="Arial" w:cs="Arial"/>
                <w:sz w:val="20"/>
                <w:szCs w:val="20"/>
                <w:lang w:bidi="en-GB"/>
              </w:rPr>
              <w:t xml:space="preserve">Inform the consultant if the patient discontinues treatment for any reason. Any patient not able to comply with dosing instructions or unable to tolerate oral </w:t>
            </w:r>
            <w:proofErr w:type="spellStart"/>
            <w:r w:rsidRPr="00EF64CA">
              <w:rPr>
                <w:rFonts w:ascii="Arial" w:eastAsia="Times New Roman" w:hAnsi="Arial" w:cs="Arial"/>
                <w:sz w:val="20"/>
                <w:szCs w:val="20"/>
                <w:lang w:bidi="en-GB"/>
              </w:rPr>
              <w:t>ibandronic</w:t>
            </w:r>
            <w:proofErr w:type="spellEnd"/>
            <w:r w:rsidRPr="00EF64CA">
              <w:rPr>
                <w:rFonts w:ascii="Arial" w:eastAsia="Times New Roman" w:hAnsi="Arial" w:cs="Arial"/>
                <w:sz w:val="20"/>
                <w:szCs w:val="20"/>
                <w:lang w:bidi="en-GB"/>
              </w:rPr>
              <w:t xml:space="preserve"> acid can be offered zoledronic acid IV as an alternative.</w:t>
            </w:r>
          </w:p>
          <w:p w14:paraId="54906854" w14:textId="77777777" w:rsidR="00044B66" w:rsidRPr="00EF64CA" w:rsidRDefault="00044B66" w:rsidP="00241293">
            <w:pPr>
              <w:numPr>
                <w:ilvl w:val="1"/>
                <w:numId w:val="19"/>
              </w:numPr>
              <w:ind w:left="425"/>
              <w:rPr>
                <w:rFonts w:ascii="Arial" w:eastAsia="Times New Roman" w:hAnsi="Arial" w:cs="Arial"/>
                <w:sz w:val="20"/>
                <w:szCs w:val="20"/>
                <w:lang w:bidi="en-GB"/>
              </w:rPr>
            </w:pPr>
            <w:r w:rsidRPr="00EF64CA">
              <w:rPr>
                <w:rFonts w:ascii="Arial" w:eastAsia="Times New Roman" w:hAnsi="Arial" w:cs="Arial"/>
                <w:sz w:val="20"/>
                <w:szCs w:val="20"/>
                <w:lang w:bidi="en-GB"/>
              </w:rPr>
              <w:t>To report any serious adverse reaction to the CSM and the referring consultant.</w:t>
            </w:r>
          </w:p>
          <w:p w14:paraId="42FF4ADD" w14:textId="77777777" w:rsidR="00044B66" w:rsidRPr="00EF64CA" w:rsidRDefault="00044B66" w:rsidP="00760C44">
            <w:pPr>
              <w:rPr>
                <w:rFonts w:ascii="Arial" w:eastAsia="Times New Roman" w:hAnsi="Arial" w:cs="Arial"/>
                <w:sz w:val="20"/>
                <w:szCs w:val="20"/>
              </w:rPr>
            </w:pPr>
          </w:p>
          <w:p w14:paraId="56E7CCC9"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 xml:space="preserve">No routine monitoring of toxicity is required, however referral to secondary care is necessary if the patient presents with signs of hypo or hypercalcemia, clinical deterioration or reduced renal function: </w:t>
            </w:r>
          </w:p>
          <w:p w14:paraId="15A82652" w14:textId="77777777" w:rsidR="00044B66" w:rsidRPr="00EF64CA" w:rsidRDefault="00044B66" w:rsidP="00241293">
            <w:pPr>
              <w:numPr>
                <w:ilvl w:val="0"/>
                <w:numId w:val="20"/>
              </w:numPr>
              <w:rPr>
                <w:rFonts w:ascii="Arial" w:eastAsia="Times New Roman" w:hAnsi="Arial" w:cs="Arial"/>
                <w:sz w:val="20"/>
                <w:szCs w:val="20"/>
              </w:rPr>
            </w:pPr>
            <w:r w:rsidRPr="00EF64CA">
              <w:rPr>
                <w:rFonts w:ascii="Arial" w:eastAsia="Times New Roman" w:hAnsi="Arial" w:cs="Arial"/>
                <w:sz w:val="20"/>
                <w:szCs w:val="20"/>
              </w:rPr>
              <w:t xml:space="preserve">If normal at </w:t>
            </w:r>
            <w:proofErr w:type="gramStart"/>
            <w:r w:rsidRPr="00EF64CA">
              <w:rPr>
                <w:rFonts w:ascii="Arial" w:eastAsia="Times New Roman" w:hAnsi="Arial" w:cs="Arial"/>
                <w:sz w:val="20"/>
                <w:szCs w:val="20"/>
              </w:rPr>
              <w:t>baseline</w:t>
            </w:r>
            <w:proofErr w:type="gramEnd"/>
            <w:r w:rsidRPr="00EF64CA">
              <w:rPr>
                <w:rFonts w:ascii="Arial" w:eastAsia="Times New Roman" w:hAnsi="Arial" w:cs="Arial"/>
                <w:sz w:val="20"/>
                <w:szCs w:val="20"/>
              </w:rPr>
              <w:t xml:space="preserve"> then reduction to &lt;50mL/min</w:t>
            </w:r>
          </w:p>
          <w:p w14:paraId="6ED2CF75" w14:textId="77777777" w:rsidR="00044B66" w:rsidRPr="00EF64CA" w:rsidRDefault="00044B66" w:rsidP="00241293">
            <w:pPr>
              <w:numPr>
                <w:ilvl w:val="0"/>
                <w:numId w:val="20"/>
              </w:numPr>
              <w:rPr>
                <w:rFonts w:ascii="Arial" w:eastAsia="Times New Roman" w:hAnsi="Arial" w:cs="Arial"/>
                <w:sz w:val="20"/>
                <w:szCs w:val="20"/>
              </w:rPr>
            </w:pPr>
            <w:r w:rsidRPr="00EF64CA">
              <w:rPr>
                <w:rFonts w:ascii="Arial" w:eastAsia="Times New Roman" w:hAnsi="Arial" w:cs="Arial"/>
                <w:sz w:val="20"/>
                <w:szCs w:val="20"/>
              </w:rPr>
              <w:t>If below normal at baseline and on appropriately modified dose (see page 2) then reduction of &gt;10mL/min form baseline (</w:t>
            </w:r>
            <w:proofErr w:type="spellStart"/>
            <w:r w:rsidRPr="00EF64CA">
              <w:rPr>
                <w:rFonts w:ascii="Arial" w:eastAsia="Times New Roman" w:hAnsi="Arial" w:cs="Arial"/>
                <w:sz w:val="20"/>
                <w:szCs w:val="20"/>
              </w:rPr>
              <w:t>i.</w:t>
            </w:r>
            <w:proofErr w:type="gramStart"/>
            <w:r w:rsidRPr="00EF64CA">
              <w:rPr>
                <w:rFonts w:ascii="Arial" w:eastAsia="Times New Roman" w:hAnsi="Arial" w:cs="Arial"/>
                <w:sz w:val="20"/>
                <w:szCs w:val="20"/>
              </w:rPr>
              <w:t>e.if</w:t>
            </w:r>
            <w:proofErr w:type="spellEnd"/>
            <w:proofErr w:type="gramEnd"/>
            <w:r w:rsidRPr="00EF64CA">
              <w:rPr>
                <w:rFonts w:ascii="Arial" w:eastAsia="Times New Roman" w:hAnsi="Arial" w:cs="Arial"/>
                <w:sz w:val="20"/>
                <w:szCs w:val="20"/>
              </w:rPr>
              <w:t xml:space="preserve"> drops from 38 to 28mL/min) </w:t>
            </w:r>
          </w:p>
          <w:p w14:paraId="286DBA22" w14:textId="77777777" w:rsidR="00044B66" w:rsidRPr="00EF64CA" w:rsidRDefault="00044B66" w:rsidP="00760C44">
            <w:pPr>
              <w:rPr>
                <w:rFonts w:ascii="Arial" w:eastAsia="Times New Roman" w:hAnsi="Arial" w:cs="Arial"/>
                <w:sz w:val="20"/>
                <w:szCs w:val="20"/>
              </w:rPr>
            </w:pPr>
          </w:p>
          <w:p w14:paraId="148A834B"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Referring for review if there are signs of disease progression.</w:t>
            </w:r>
          </w:p>
          <w:p w14:paraId="20DB9F07"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Ensuring that all other medical professionals in the shared care team are kept informed of any changes in the patient’s circumstances.</w:t>
            </w:r>
          </w:p>
          <w:p w14:paraId="24708DA9" w14:textId="77777777" w:rsidR="00044B66" w:rsidRPr="00EF64CA" w:rsidRDefault="00044B66" w:rsidP="00760C44">
            <w:pPr>
              <w:rPr>
                <w:rFonts w:ascii="Arial" w:eastAsia="Times New Roman" w:hAnsi="Arial" w:cs="Arial"/>
                <w:sz w:val="20"/>
                <w:szCs w:val="20"/>
              </w:rPr>
            </w:pPr>
            <w:r w:rsidRPr="00EF64CA">
              <w:rPr>
                <w:rFonts w:ascii="Arial" w:eastAsia="Times New Roman" w:hAnsi="Arial" w:cs="Arial"/>
                <w:sz w:val="20"/>
                <w:szCs w:val="20"/>
              </w:rPr>
              <w:t>Individual patients who require additional serum creatinine and calcium levels monitoring may be identified by the consultant.</w:t>
            </w:r>
          </w:p>
        </w:tc>
      </w:tr>
    </w:tbl>
    <w:p w14:paraId="07AFD947" w14:textId="77777777" w:rsidR="00044B66" w:rsidRDefault="00044B66" w:rsidP="00044B66">
      <w:pPr>
        <w:rPr>
          <w:rFonts w:ascii="Arial" w:eastAsia="Times New Roman" w:hAnsi="Arial" w:cs="Arial"/>
        </w:rPr>
      </w:pPr>
    </w:p>
    <w:p w14:paraId="002F2F7F" w14:textId="77777777" w:rsidR="00044B66" w:rsidRDefault="00044B66" w:rsidP="00044B66">
      <w:pPr>
        <w:rPr>
          <w:rFonts w:ascii="Arial" w:eastAsia="Times New Roman" w:hAnsi="Arial" w:cs="Arial"/>
        </w:rPr>
      </w:pPr>
    </w:p>
    <w:p w14:paraId="2D3DBF2E" w14:textId="77777777" w:rsidR="00044B66" w:rsidRPr="002C0A80" w:rsidRDefault="00044B66" w:rsidP="00241293">
      <w:pPr>
        <w:pStyle w:val="ListParagraph"/>
        <w:numPr>
          <w:ilvl w:val="0"/>
          <w:numId w:val="23"/>
        </w:numPr>
        <w:rPr>
          <w:rFonts w:ascii="Arial" w:eastAsia="Times New Roman" w:hAnsi="Arial" w:cs="Arial"/>
          <w:b/>
          <w:bCs/>
          <w:lang w:bidi="en-GB"/>
        </w:rPr>
      </w:pPr>
      <w:r w:rsidRPr="002C0A80">
        <w:rPr>
          <w:rFonts w:ascii="Arial" w:eastAsia="Times New Roman" w:hAnsi="Arial" w:cs="Arial"/>
          <w:b/>
          <w:bCs/>
          <w:lang w:bidi="en-GB"/>
        </w:rPr>
        <w:t>References</w:t>
      </w:r>
    </w:p>
    <w:p w14:paraId="34DC095A" w14:textId="77777777" w:rsidR="00044B66" w:rsidRPr="003F7276" w:rsidRDefault="00044B66" w:rsidP="00044B66">
      <w:pPr>
        <w:rPr>
          <w:rFonts w:ascii="Arial" w:eastAsia="Times New Roman" w:hAnsi="Arial" w:cs="Arial"/>
          <w:b/>
          <w:lang w:bidi="en-GB"/>
        </w:rPr>
      </w:pPr>
    </w:p>
    <w:p w14:paraId="785F880D" w14:textId="77777777" w:rsidR="00044B66" w:rsidRPr="003F7276" w:rsidRDefault="00044B66" w:rsidP="00241293">
      <w:pPr>
        <w:numPr>
          <w:ilvl w:val="0"/>
          <w:numId w:val="18"/>
        </w:numPr>
        <w:ind w:left="709" w:hanging="283"/>
        <w:rPr>
          <w:rFonts w:ascii="Arial" w:eastAsia="Times New Roman" w:hAnsi="Arial" w:cs="Arial"/>
          <w:lang w:bidi="en-GB"/>
        </w:rPr>
      </w:pPr>
      <w:r w:rsidRPr="003F7276">
        <w:rPr>
          <w:rFonts w:ascii="Arial" w:eastAsia="Times New Roman" w:hAnsi="Arial" w:cs="Arial"/>
          <w:lang w:bidi="en-GB"/>
        </w:rPr>
        <w:t xml:space="preserve">Early Breast Cancer Trialists’ Collaborative Group (2015). Adjuvant bisphosphonate treatment in early breast cancer: meta-analyses of individual patient data from </w:t>
      </w:r>
      <w:proofErr w:type="spellStart"/>
      <w:r w:rsidRPr="003F7276">
        <w:rPr>
          <w:rFonts w:ascii="Arial" w:eastAsia="Times New Roman" w:hAnsi="Arial" w:cs="Arial"/>
          <w:lang w:bidi="en-GB"/>
        </w:rPr>
        <w:lastRenderedPageBreak/>
        <w:t>randomised</w:t>
      </w:r>
      <w:proofErr w:type="spellEnd"/>
      <w:r w:rsidRPr="003F7276">
        <w:rPr>
          <w:rFonts w:ascii="Arial" w:eastAsia="Times New Roman" w:hAnsi="Arial" w:cs="Arial"/>
          <w:lang w:bidi="en-GB"/>
        </w:rPr>
        <w:t xml:space="preserve"> trials. Lancet 386: 1353–61</w:t>
      </w:r>
      <w:r w:rsidRPr="003F7276">
        <w:rPr>
          <w:rFonts w:ascii="Arial" w:eastAsia="Times New Roman" w:hAnsi="Arial" w:cs="Arial"/>
          <w:u w:val="single"/>
          <w:lang w:bidi="en-GB"/>
        </w:rPr>
        <w:t xml:space="preserve"> </w:t>
      </w:r>
      <w:hyperlink r:id="rId14">
        <w:r w:rsidRPr="003F7276">
          <w:rPr>
            <w:rStyle w:val="Hyperlink"/>
            <w:rFonts w:ascii="Arial" w:eastAsia="Times New Roman" w:hAnsi="Arial" w:cs="Arial"/>
            <w:lang w:bidi="en-GB"/>
          </w:rPr>
          <w:t>http://www.thelancet.com/journals/lancet/article/PIIS0140-6736(15)60908-4/abstract</w:t>
        </w:r>
      </w:hyperlink>
    </w:p>
    <w:p w14:paraId="03F34A12" w14:textId="77777777" w:rsidR="00044B66" w:rsidRPr="003F7276" w:rsidRDefault="00044B66" w:rsidP="00241293">
      <w:pPr>
        <w:numPr>
          <w:ilvl w:val="0"/>
          <w:numId w:val="18"/>
        </w:numPr>
        <w:ind w:left="709" w:hanging="283"/>
        <w:rPr>
          <w:rFonts w:ascii="Arial" w:eastAsia="Times New Roman" w:hAnsi="Arial" w:cs="Arial"/>
          <w:lang w:bidi="en-GB"/>
        </w:rPr>
      </w:pPr>
      <w:r w:rsidRPr="003F7276">
        <w:rPr>
          <w:rFonts w:ascii="Arial" w:eastAsia="Times New Roman" w:hAnsi="Arial" w:cs="Arial"/>
          <w:lang w:bidi="en-GB"/>
        </w:rPr>
        <w:t>Adjuvant bisphosphonates in early breast cancer: consensus guidance for clinical practice from a European Panel (2016), Annals of Oncology 27: 379–390</w:t>
      </w:r>
      <w:r w:rsidRPr="003F7276">
        <w:rPr>
          <w:rFonts w:ascii="Arial" w:eastAsia="Times New Roman" w:hAnsi="Arial" w:cs="Arial"/>
          <w:u w:val="single"/>
          <w:lang w:bidi="en-GB"/>
        </w:rPr>
        <w:t xml:space="preserve"> </w:t>
      </w:r>
      <w:hyperlink r:id="rId15" w:history="1">
        <w:r w:rsidRPr="003F7276">
          <w:rPr>
            <w:rStyle w:val="Hyperlink"/>
            <w:rFonts w:ascii="Arial" w:eastAsia="Times New Roman" w:hAnsi="Arial" w:cs="Arial"/>
            <w:lang w:bidi="en-GB"/>
          </w:rPr>
          <w:t>http://annonc.oxfordjournals.org/content/27/3/379.full.pdf+html</w:t>
        </w:r>
      </w:hyperlink>
    </w:p>
    <w:p w14:paraId="276D4505" w14:textId="77777777" w:rsidR="00044B66" w:rsidRPr="003F7276" w:rsidRDefault="00044B66" w:rsidP="00241293">
      <w:pPr>
        <w:numPr>
          <w:ilvl w:val="0"/>
          <w:numId w:val="18"/>
        </w:numPr>
        <w:ind w:left="709" w:hanging="283"/>
        <w:rPr>
          <w:rFonts w:ascii="Arial" w:eastAsia="Times New Roman" w:hAnsi="Arial" w:cs="Arial"/>
          <w:lang w:bidi="en-GB"/>
        </w:rPr>
      </w:pPr>
      <w:r w:rsidRPr="003F7276">
        <w:rPr>
          <w:rFonts w:ascii="Arial" w:eastAsia="Times New Roman" w:hAnsi="Arial" w:cs="Arial"/>
          <w:lang w:bidi="en-GB"/>
        </w:rPr>
        <w:t>UK Breast Cancer Meeting (UKBCM). November 2015. Presentations available here:</w:t>
      </w:r>
      <w:r w:rsidRPr="003F7276">
        <w:rPr>
          <w:rFonts w:ascii="Arial" w:eastAsia="Times New Roman" w:hAnsi="Arial" w:cs="Arial"/>
          <w:u w:val="single"/>
          <w:lang w:bidi="en-GB"/>
        </w:rPr>
        <w:t xml:space="preserve"> http://www.ukbcg.org/content.php?id=245g=6/Presentations-2015</w:t>
      </w:r>
    </w:p>
    <w:p w14:paraId="25FD984D" w14:textId="77777777" w:rsidR="00044B66" w:rsidRPr="003F7276" w:rsidRDefault="00044B66" w:rsidP="00241293">
      <w:pPr>
        <w:numPr>
          <w:ilvl w:val="0"/>
          <w:numId w:val="18"/>
        </w:numPr>
        <w:ind w:left="709" w:hanging="283"/>
        <w:rPr>
          <w:rFonts w:ascii="Arial" w:eastAsia="Times New Roman" w:hAnsi="Arial" w:cs="Arial"/>
          <w:lang w:bidi="en-GB"/>
        </w:rPr>
      </w:pPr>
      <w:r w:rsidRPr="003F7276">
        <w:rPr>
          <w:rFonts w:ascii="Arial" w:eastAsia="Times New Roman" w:hAnsi="Arial" w:cs="Arial"/>
          <w:lang w:bidi="en-GB"/>
        </w:rPr>
        <w:t xml:space="preserve">Summary of Product Characteristics. </w:t>
      </w:r>
      <w:proofErr w:type="spellStart"/>
      <w:r w:rsidRPr="003F7276">
        <w:rPr>
          <w:rFonts w:ascii="Arial" w:eastAsia="Times New Roman" w:hAnsi="Arial" w:cs="Arial"/>
          <w:lang w:bidi="en-GB"/>
        </w:rPr>
        <w:t>Ibandronic</w:t>
      </w:r>
      <w:proofErr w:type="spellEnd"/>
      <w:r w:rsidRPr="003F7276">
        <w:rPr>
          <w:rFonts w:ascii="Arial" w:eastAsia="Times New Roman" w:hAnsi="Arial" w:cs="Arial"/>
          <w:lang w:bidi="en-GB"/>
        </w:rPr>
        <w:t xml:space="preserve"> Acid 50mg tablets. </w:t>
      </w:r>
      <w:hyperlink r:id="rId16">
        <w:r w:rsidRPr="003F7276">
          <w:rPr>
            <w:rStyle w:val="Hyperlink"/>
            <w:rFonts w:ascii="Arial" w:eastAsia="Times New Roman" w:hAnsi="Arial" w:cs="Arial"/>
            <w:lang w:bidi="en-GB"/>
          </w:rPr>
          <w:t xml:space="preserve">www.medicines.org.uk. </w:t>
        </w:r>
      </w:hyperlink>
      <w:r w:rsidRPr="003F7276">
        <w:rPr>
          <w:rFonts w:ascii="Arial" w:eastAsia="Times New Roman" w:hAnsi="Arial" w:cs="Arial"/>
          <w:lang w:bidi="en-GB"/>
        </w:rPr>
        <w:t>Accessed J</w:t>
      </w:r>
      <w:r>
        <w:rPr>
          <w:rFonts w:ascii="Arial" w:eastAsia="Times New Roman" w:hAnsi="Arial" w:cs="Arial"/>
          <w:lang w:bidi="en-GB"/>
        </w:rPr>
        <w:t>uly 21</w:t>
      </w:r>
    </w:p>
    <w:p w14:paraId="0CC88064" w14:textId="77777777" w:rsidR="00044B66" w:rsidRPr="003F7276" w:rsidRDefault="00044B66" w:rsidP="00241293">
      <w:pPr>
        <w:numPr>
          <w:ilvl w:val="0"/>
          <w:numId w:val="18"/>
        </w:numPr>
        <w:ind w:left="709" w:hanging="283"/>
        <w:rPr>
          <w:rFonts w:ascii="Arial" w:eastAsia="Times New Roman" w:hAnsi="Arial" w:cs="Arial"/>
          <w:lang w:bidi="en-GB"/>
        </w:rPr>
      </w:pPr>
      <w:r w:rsidRPr="003F7276">
        <w:rPr>
          <w:rFonts w:ascii="Arial" w:eastAsia="Times New Roman" w:hAnsi="Arial" w:cs="Arial"/>
          <w:lang w:bidi="en-GB"/>
        </w:rPr>
        <w:t xml:space="preserve">BNF July 2016 </w:t>
      </w:r>
      <w:hyperlink r:id="rId17">
        <w:r w:rsidRPr="003F7276">
          <w:rPr>
            <w:rStyle w:val="Hyperlink"/>
            <w:rFonts w:ascii="Arial" w:eastAsia="Times New Roman" w:hAnsi="Arial" w:cs="Arial"/>
            <w:lang w:bidi="en-GB"/>
          </w:rPr>
          <w:t>https://www.medicinescomplete.com/mc/bnf/current/PHP4671-ibandronic-acid.htm</w:t>
        </w:r>
      </w:hyperlink>
    </w:p>
    <w:p w14:paraId="02F23B92" w14:textId="77777777" w:rsidR="00044B66" w:rsidRPr="003F7276" w:rsidRDefault="00044B66" w:rsidP="00241293">
      <w:pPr>
        <w:numPr>
          <w:ilvl w:val="0"/>
          <w:numId w:val="18"/>
        </w:numPr>
        <w:ind w:left="709" w:hanging="283"/>
        <w:rPr>
          <w:rFonts w:ascii="Arial" w:eastAsia="Times New Roman" w:hAnsi="Arial" w:cs="Arial"/>
          <w:lang w:bidi="en-GB"/>
        </w:rPr>
      </w:pPr>
      <w:r w:rsidRPr="003F7276">
        <w:rPr>
          <w:rFonts w:ascii="Arial" w:eastAsia="Times New Roman" w:hAnsi="Arial" w:cs="Arial"/>
          <w:lang w:bidi="en-GB"/>
        </w:rPr>
        <w:t>NICE Medicines Evidence Commentary, November 2015, Early breast cancer: adjuvant bisphosphonate treatment beneficial in post-menopausal women</w:t>
      </w:r>
      <w:r w:rsidRPr="003F7276">
        <w:rPr>
          <w:rFonts w:ascii="Arial" w:eastAsia="Times New Roman" w:hAnsi="Arial" w:cs="Arial"/>
          <w:u w:val="single"/>
          <w:lang w:bidi="en-GB"/>
        </w:rPr>
        <w:t xml:space="preserve"> http://www.medicinesresources.nhs.uk/GetDocument.aspx?pageId=802403</w:t>
      </w:r>
    </w:p>
    <w:p w14:paraId="21E40F35" w14:textId="77777777" w:rsidR="00044B66" w:rsidRPr="008841A5" w:rsidRDefault="00044B66" w:rsidP="00044B66">
      <w:pPr>
        <w:rPr>
          <w:rFonts w:ascii="Arial" w:eastAsia="Times New Roman" w:hAnsi="Arial" w:cs="Arial"/>
        </w:rPr>
      </w:pPr>
    </w:p>
    <w:p w14:paraId="45281C74" w14:textId="77777777" w:rsidR="00044B66" w:rsidRPr="008841A5" w:rsidRDefault="00044B66" w:rsidP="00044B66">
      <w:pPr>
        <w:rPr>
          <w:rFonts w:ascii="Arial" w:eastAsia="Times New Roman" w:hAnsi="Arial" w:cs="Arial"/>
        </w:rPr>
      </w:pPr>
    </w:p>
    <w:p w14:paraId="2ED86176" w14:textId="77777777" w:rsidR="00044B66" w:rsidRPr="008841A5" w:rsidRDefault="00044B66" w:rsidP="00044B66">
      <w:pPr>
        <w:rPr>
          <w:rFonts w:ascii="Arial" w:eastAsia="Times New Roman" w:hAnsi="Arial" w:cs="Arial"/>
        </w:rPr>
      </w:pPr>
      <w:r w:rsidRPr="008841A5">
        <w:rPr>
          <w:rFonts w:ascii="Arial" w:eastAsia="Times New Roman" w:hAnsi="Arial" w:cs="Arial"/>
          <w:b/>
        </w:rPr>
        <w:t>Contact Details:</w:t>
      </w:r>
      <w:r w:rsidRPr="008841A5">
        <w:rPr>
          <w:rFonts w:ascii="Arial" w:eastAsia="Times New Roman" w:hAnsi="Arial" w:cs="Arial"/>
        </w:rPr>
        <w:tab/>
        <w:t xml:space="preserve">The Queen’s Centre for Oncology and </w:t>
      </w:r>
      <w:proofErr w:type="spellStart"/>
      <w:r w:rsidRPr="008841A5">
        <w:rPr>
          <w:rFonts w:ascii="Arial" w:eastAsia="Times New Roman" w:hAnsi="Arial" w:cs="Arial"/>
        </w:rPr>
        <w:t>Haematology</w:t>
      </w:r>
      <w:proofErr w:type="spellEnd"/>
    </w:p>
    <w:p w14:paraId="3E1FC51B" w14:textId="77777777" w:rsidR="00044B66" w:rsidRPr="008841A5" w:rsidRDefault="00044B66" w:rsidP="00044B66">
      <w:pPr>
        <w:rPr>
          <w:rFonts w:ascii="Arial" w:eastAsia="Times New Roman" w:hAnsi="Arial" w:cs="Arial"/>
          <w:bCs/>
        </w:rPr>
      </w:pPr>
      <w:r w:rsidRPr="008841A5">
        <w:rPr>
          <w:rFonts w:ascii="Arial" w:eastAsia="Times New Roman" w:hAnsi="Arial" w:cs="Arial"/>
          <w:bCs/>
        </w:rPr>
        <w:t>During Office hours:</w:t>
      </w:r>
      <w:r w:rsidRPr="008841A5">
        <w:rPr>
          <w:rFonts w:ascii="Arial" w:eastAsia="Times New Roman" w:hAnsi="Arial" w:cs="Arial"/>
          <w:bCs/>
        </w:rPr>
        <w:tab/>
        <w:t>Tel: 01482 461098</w:t>
      </w:r>
      <w:r w:rsidRPr="008841A5">
        <w:rPr>
          <w:rFonts w:ascii="Arial" w:eastAsia="Times New Roman" w:hAnsi="Arial" w:cs="Arial"/>
          <w:bCs/>
        </w:rPr>
        <w:tab/>
      </w:r>
    </w:p>
    <w:p w14:paraId="63D98375" w14:textId="77777777" w:rsidR="00044B66" w:rsidRPr="008841A5" w:rsidRDefault="00044B66" w:rsidP="00044B66">
      <w:pPr>
        <w:rPr>
          <w:rFonts w:ascii="Arial" w:eastAsia="Times New Roman" w:hAnsi="Arial" w:cs="Arial"/>
        </w:rPr>
      </w:pPr>
      <w:r w:rsidRPr="008841A5">
        <w:rPr>
          <w:rFonts w:ascii="Arial" w:eastAsia="Times New Roman" w:hAnsi="Arial" w:cs="Arial"/>
          <w:bCs/>
        </w:rPr>
        <w:t>Out of hours</w:t>
      </w:r>
      <w:r w:rsidRPr="008841A5">
        <w:rPr>
          <w:rFonts w:ascii="Arial" w:eastAsia="Times New Roman" w:hAnsi="Arial" w:cs="Arial"/>
        </w:rPr>
        <w:t>:</w:t>
      </w:r>
      <w:r w:rsidRPr="008841A5">
        <w:rPr>
          <w:rFonts w:ascii="Times New Roman" w:eastAsia="Times New Roman" w:hAnsi="Times New Roman" w:cs="Times New Roman"/>
        </w:rPr>
        <w:t xml:space="preserve"> </w:t>
      </w:r>
      <w:r w:rsidRPr="008841A5">
        <w:rPr>
          <w:rFonts w:ascii="Times New Roman" w:eastAsia="Times New Roman" w:hAnsi="Times New Roman" w:cs="Times New Roman"/>
        </w:rPr>
        <w:tab/>
      </w:r>
      <w:r w:rsidRPr="008841A5">
        <w:rPr>
          <w:rFonts w:ascii="Times New Roman" w:eastAsia="Times New Roman" w:hAnsi="Times New Roman" w:cs="Times New Roman"/>
        </w:rPr>
        <w:tab/>
      </w:r>
      <w:r w:rsidRPr="008841A5">
        <w:rPr>
          <w:rFonts w:ascii="Arial" w:eastAsia="Times New Roman" w:hAnsi="Arial" w:cs="Arial"/>
        </w:rPr>
        <w:t xml:space="preserve">Ward 32 </w:t>
      </w:r>
      <w:r w:rsidRPr="008841A5">
        <w:rPr>
          <w:rFonts w:ascii="Arial" w:eastAsia="Times New Roman" w:hAnsi="Arial" w:cs="Arial"/>
        </w:rPr>
        <w:tab/>
        <w:t>Tel: 01482 461019</w:t>
      </w:r>
    </w:p>
    <w:p w14:paraId="2A9519DD" w14:textId="77777777" w:rsidR="00044B66" w:rsidRPr="008841A5" w:rsidRDefault="00044B66" w:rsidP="00044B66">
      <w:pPr>
        <w:rPr>
          <w:rFonts w:ascii="Arial" w:eastAsia="Times New Roman" w:hAnsi="Arial" w:cs="Arial"/>
        </w:rPr>
      </w:pPr>
    </w:p>
    <w:p w14:paraId="350DFE84" w14:textId="77777777" w:rsidR="00044B66" w:rsidRPr="008841A5" w:rsidRDefault="00044B66" w:rsidP="00044B66">
      <w:pPr>
        <w:rPr>
          <w:rFonts w:ascii="Arial" w:eastAsia="Times New Roman" w:hAnsi="Arial" w:cs="Arial"/>
        </w:rPr>
      </w:pPr>
    </w:p>
    <w:p w14:paraId="74E9CF83" w14:textId="77777777" w:rsidR="00044B66" w:rsidRPr="008841A5" w:rsidRDefault="00044B66" w:rsidP="00044B66">
      <w:pPr>
        <w:rPr>
          <w:rFonts w:ascii="Arial" w:eastAsia="Times New Roman" w:hAnsi="Arial" w:cs="Arial"/>
          <w:b/>
          <w:sz w:val="24"/>
          <w:szCs w:val="24"/>
        </w:rPr>
      </w:pPr>
      <w:r w:rsidRPr="008841A5">
        <w:rPr>
          <w:rFonts w:ascii="Arial" w:eastAsia="Times New Roman" w:hAnsi="Arial" w:cs="Arial"/>
          <w:b/>
          <w:sz w:val="24"/>
          <w:szCs w:val="24"/>
        </w:rPr>
        <w:t>APPROVAL PROCESS</w:t>
      </w:r>
    </w:p>
    <w:p w14:paraId="48CAD252" w14:textId="77777777" w:rsidR="00044B66" w:rsidRPr="008841A5" w:rsidRDefault="00044B66" w:rsidP="00044B66">
      <w:pPr>
        <w:rPr>
          <w:rFonts w:ascii="Arial" w:eastAsia="Times New Roman" w:hAnsi="Arial" w:cs="Arial"/>
          <w:sz w:val="24"/>
          <w:szCs w:val="24"/>
        </w:rPr>
      </w:pPr>
    </w:p>
    <w:tbl>
      <w:tblPr>
        <w:tblStyle w:val="TableGrid"/>
        <w:tblW w:w="10320" w:type="dxa"/>
        <w:tblLook w:val="01E0" w:firstRow="1" w:lastRow="1" w:firstColumn="1" w:lastColumn="1" w:noHBand="0" w:noVBand="0"/>
      </w:tblPr>
      <w:tblGrid>
        <w:gridCol w:w="1925"/>
        <w:gridCol w:w="8395"/>
      </w:tblGrid>
      <w:tr w:rsidR="00044B66" w:rsidRPr="008841A5" w14:paraId="5C4692A8" w14:textId="77777777" w:rsidTr="00760C44">
        <w:trPr>
          <w:trHeight w:val="2037"/>
        </w:trPr>
        <w:tc>
          <w:tcPr>
            <w:tcW w:w="1925" w:type="dxa"/>
          </w:tcPr>
          <w:p w14:paraId="27F365D6" w14:textId="77777777" w:rsidR="00044B66" w:rsidRPr="008841A5" w:rsidRDefault="00044B66" w:rsidP="00760C44">
            <w:pPr>
              <w:rPr>
                <w:rFonts w:ascii="Arial" w:hAnsi="Arial" w:cs="Arial"/>
                <w:b/>
                <w:sz w:val="24"/>
                <w:szCs w:val="24"/>
              </w:rPr>
            </w:pPr>
            <w:r w:rsidRPr="008841A5">
              <w:rPr>
                <w:rFonts w:ascii="Arial" w:hAnsi="Arial" w:cs="Arial"/>
                <w:b/>
                <w:sz w:val="24"/>
                <w:szCs w:val="24"/>
              </w:rPr>
              <w:t>Written by:</w:t>
            </w:r>
          </w:p>
        </w:tc>
        <w:tc>
          <w:tcPr>
            <w:tcW w:w="8395" w:type="dxa"/>
          </w:tcPr>
          <w:p w14:paraId="3F96989C" w14:textId="77777777" w:rsidR="00044B66" w:rsidRPr="002C0A80" w:rsidRDefault="00044B66" w:rsidP="00760C44">
            <w:pPr>
              <w:rPr>
                <w:rFonts w:ascii="Arial" w:hAnsi="Arial" w:cs="Arial"/>
                <w:b/>
                <w:bCs/>
                <w:sz w:val="24"/>
                <w:szCs w:val="24"/>
                <w:lang w:bidi="en-GB"/>
              </w:rPr>
            </w:pPr>
            <w:r w:rsidRPr="002C0A80">
              <w:rPr>
                <w:rFonts w:ascii="Arial" w:hAnsi="Arial" w:cs="Arial"/>
                <w:b/>
                <w:bCs/>
                <w:sz w:val="24"/>
                <w:szCs w:val="24"/>
                <w:lang w:bidi="en-GB"/>
              </w:rPr>
              <w:t>Adapted for HEY NHS Hospitals Trust by Dr Penny O’Neill (Consultant Oncologist) and Antonio Ramirez (Senior Principal Pharmacist Interface)</w:t>
            </w:r>
            <w:r>
              <w:rPr>
                <w:rFonts w:ascii="Arial" w:hAnsi="Arial" w:cs="Arial"/>
                <w:b/>
                <w:bCs/>
                <w:sz w:val="24"/>
                <w:szCs w:val="24"/>
                <w:lang w:bidi="en-GB"/>
              </w:rPr>
              <w:t>; reviewed Jane Morgan July 21</w:t>
            </w:r>
          </w:p>
          <w:p w14:paraId="0F6978A9" w14:textId="77777777" w:rsidR="00044B66" w:rsidRPr="002C0A80" w:rsidRDefault="00044B66" w:rsidP="00760C44">
            <w:pPr>
              <w:rPr>
                <w:rFonts w:ascii="Arial" w:hAnsi="Arial" w:cs="Arial"/>
                <w:sz w:val="24"/>
                <w:szCs w:val="24"/>
              </w:rPr>
            </w:pPr>
            <w:r w:rsidRPr="002C0A80">
              <w:rPr>
                <w:rFonts w:ascii="Arial" w:hAnsi="Arial" w:cs="Arial"/>
                <w:bCs/>
                <w:sz w:val="24"/>
                <w:szCs w:val="24"/>
                <w:lang w:bidi="en-GB"/>
              </w:rPr>
              <w:t xml:space="preserve">From the STHFT guideline, developed by: </w:t>
            </w:r>
            <w:r w:rsidRPr="002C0A80">
              <w:rPr>
                <w:rFonts w:ascii="Arial" w:hAnsi="Arial" w:cs="Arial"/>
                <w:sz w:val="24"/>
                <w:szCs w:val="24"/>
                <w:lang w:bidi="en-GB"/>
              </w:rPr>
              <w:t>Professor Rob Coleman, Dr Matt Winter (Consultant Oncologist), Dr Anthony Gore (GP Clinical Lead), Helen Taylor (MM Pharmacist) and Neil Masters (Principal Pharmacist)</w:t>
            </w:r>
          </w:p>
        </w:tc>
      </w:tr>
      <w:tr w:rsidR="00044B66" w:rsidRPr="008841A5" w14:paraId="1BE27CE8" w14:textId="77777777" w:rsidTr="00760C44">
        <w:trPr>
          <w:trHeight w:val="805"/>
        </w:trPr>
        <w:tc>
          <w:tcPr>
            <w:tcW w:w="1925" w:type="dxa"/>
          </w:tcPr>
          <w:p w14:paraId="1A7517C4" w14:textId="77777777" w:rsidR="00044B66" w:rsidRPr="008841A5" w:rsidRDefault="00044B66" w:rsidP="00760C44">
            <w:pPr>
              <w:rPr>
                <w:rFonts w:ascii="Arial" w:hAnsi="Arial" w:cs="Arial"/>
                <w:b/>
                <w:sz w:val="24"/>
                <w:szCs w:val="24"/>
              </w:rPr>
            </w:pPr>
            <w:r w:rsidRPr="008841A5">
              <w:rPr>
                <w:rFonts w:ascii="Arial" w:hAnsi="Arial" w:cs="Arial"/>
                <w:b/>
                <w:sz w:val="24"/>
                <w:szCs w:val="24"/>
              </w:rPr>
              <w:t>Consultation process:</w:t>
            </w:r>
          </w:p>
        </w:tc>
        <w:tc>
          <w:tcPr>
            <w:tcW w:w="8395" w:type="dxa"/>
          </w:tcPr>
          <w:p w14:paraId="191D80CA" w14:textId="77777777" w:rsidR="00044B66" w:rsidRPr="008841A5" w:rsidRDefault="00044B66" w:rsidP="00760C44">
            <w:pPr>
              <w:rPr>
                <w:rFonts w:ascii="Arial" w:hAnsi="Arial" w:cs="Arial"/>
                <w:b/>
                <w:sz w:val="24"/>
                <w:szCs w:val="24"/>
              </w:rPr>
            </w:pPr>
            <w:r w:rsidRPr="008841A5">
              <w:rPr>
                <w:rFonts w:ascii="Arial" w:hAnsi="Arial" w:cs="Arial"/>
                <w:b/>
                <w:sz w:val="24"/>
                <w:szCs w:val="24"/>
              </w:rPr>
              <w:t>Breast Cancer Network Site Specific Group</w:t>
            </w:r>
          </w:p>
        </w:tc>
      </w:tr>
      <w:tr w:rsidR="00044B66" w:rsidRPr="008841A5" w14:paraId="6F7262D8" w14:textId="77777777" w:rsidTr="00760C44">
        <w:trPr>
          <w:trHeight w:val="516"/>
        </w:trPr>
        <w:tc>
          <w:tcPr>
            <w:tcW w:w="1925" w:type="dxa"/>
          </w:tcPr>
          <w:p w14:paraId="5ADE9A9C" w14:textId="77777777" w:rsidR="00044B66" w:rsidRPr="008841A5" w:rsidRDefault="00044B66" w:rsidP="00760C44">
            <w:pPr>
              <w:rPr>
                <w:rFonts w:ascii="Arial" w:hAnsi="Arial" w:cs="Arial"/>
                <w:b/>
                <w:sz w:val="24"/>
                <w:szCs w:val="24"/>
              </w:rPr>
            </w:pPr>
            <w:r w:rsidRPr="008841A5">
              <w:rPr>
                <w:rFonts w:ascii="Arial" w:hAnsi="Arial" w:cs="Arial"/>
                <w:b/>
                <w:sz w:val="24"/>
                <w:szCs w:val="24"/>
              </w:rPr>
              <w:t>Approved by:</w:t>
            </w:r>
          </w:p>
        </w:tc>
        <w:tc>
          <w:tcPr>
            <w:tcW w:w="8395" w:type="dxa"/>
          </w:tcPr>
          <w:p w14:paraId="28DE33B5" w14:textId="77777777" w:rsidR="00044B66" w:rsidRPr="008841A5" w:rsidRDefault="00044B66" w:rsidP="00760C44">
            <w:pPr>
              <w:rPr>
                <w:rFonts w:ascii="Arial" w:hAnsi="Arial" w:cs="Arial"/>
                <w:b/>
                <w:sz w:val="24"/>
                <w:szCs w:val="24"/>
              </w:rPr>
            </w:pPr>
            <w:r>
              <w:rPr>
                <w:rFonts w:ascii="Arial" w:hAnsi="Arial" w:cs="Arial"/>
                <w:b/>
                <w:sz w:val="24"/>
                <w:szCs w:val="24"/>
              </w:rPr>
              <w:t>MMIG July 2018</w:t>
            </w:r>
          </w:p>
        </w:tc>
      </w:tr>
      <w:tr w:rsidR="00044B66" w:rsidRPr="008841A5" w14:paraId="77D2FDF0" w14:textId="77777777" w:rsidTr="00760C44">
        <w:trPr>
          <w:trHeight w:val="516"/>
        </w:trPr>
        <w:tc>
          <w:tcPr>
            <w:tcW w:w="1925" w:type="dxa"/>
          </w:tcPr>
          <w:p w14:paraId="1246EC3C" w14:textId="77777777" w:rsidR="00044B66" w:rsidRPr="008841A5" w:rsidRDefault="00044B66" w:rsidP="00760C44">
            <w:pPr>
              <w:rPr>
                <w:rFonts w:ascii="Arial" w:hAnsi="Arial" w:cs="Arial"/>
                <w:b/>
                <w:sz w:val="24"/>
                <w:szCs w:val="24"/>
              </w:rPr>
            </w:pPr>
            <w:r w:rsidRPr="008841A5">
              <w:rPr>
                <w:rFonts w:ascii="Arial" w:hAnsi="Arial" w:cs="Arial"/>
                <w:b/>
                <w:sz w:val="24"/>
                <w:szCs w:val="24"/>
              </w:rPr>
              <w:t>Ratified by:</w:t>
            </w:r>
          </w:p>
        </w:tc>
        <w:tc>
          <w:tcPr>
            <w:tcW w:w="8395" w:type="dxa"/>
          </w:tcPr>
          <w:p w14:paraId="45E185B3" w14:textId="77777777" w:rsidR="00044B66" w:rsidRPr="008841A5" w:rsidRDefault="00044B66" w:rsidP="00760C44">
            <w:pPr>
              <w:rPr>
                <w:rFonts w:ascii="Arial" w:hAnsi="Arial" w:cs="Arial"/>
                <w:b/>
                <w:sz w:val="24"/>
                <w:szCs w:val="24"/>
              </w:rPr>
            </w:pPr>
            <w:r>
              <w:rPr>
                <w:rFonts w:ascii="Arial" w:hAnsi="Arial" w:cs="Arial"/>
                <w:b/>
                <w:sz w:val="24"/>
                <w:szCs w:val="24"/>
              </w:rPr>
              <w:t>HERPC</w:t>
            </w:r>
            <w:r w:rsidRPr="008841A5">
              <w:rPr>
                <w:rFonts w:ascii="Arial" w:hAnsi="Arial" w:cs="Arial"/>
                <w:b/>
                <w:sz w:val="24"/>
                <w:szCs w:val="24"/>
              </w:rPr>
              <w:t xml:space="preserve"> </w:t>
            </w:r>
            <w:r>
              <w:rPr>
                <w:rFonts w:ascii="Arial" w:hAnsi="Arial" w:cs="Arial"/>
                <w:b/>
                <w:sz w:val="24"/>
                <w:szCs w:val="24"/>
              </w:rPr>
              <w:t>July 2018, July 21</w:t>
            </w:r>
          </w:p>
        </w:tc>
      </w:tr>
      <w:tr w:rsidR="00044B66" w:rsidRPr="008841A5" w14:paraId="2CEAD116" w14:textId="77777777" w:rsidTr="00760C44">
        <w:trPr>
          <w:trHeight w:val="501"/>
        </w:trPr>
        <w:tc>
          <w:tcPr>
            <w:tcW w:w="1925" w:type="dxa"/>
          </w:tcPr>
          <w:p w14:paraId="7464DF30" w14:textId="77777777" w:rsidR="00044B66" w:rsidRPr="008841A5" w:rsidRDefault="00044B66" w:rsidP="00760C44">
            <w:pPr>
              <w:rPr>
                <w:rFonts w:ascii="Arial" w:hAnsi="Arial" w:cs="Arial"/>
                <w:b/>
                <w:sz w:val="24"/>
                <w:szCs w:val="24"/>
              </w:rPr>
            </w:pPr>
            <w:r w:rsidRPr="008841A5">
              <w:rPr>
                <w:rFonts w:ascii="Arial" w:hAnsi="Arial" w:cs="Arial"/>
                <w:b/>
                <w:sz w:val="24"/>
                <w:szCs w:val="24"/>
              </w:rPr>
              <w:t>Review date:</w:t>
            </w:r>
          </w:p>
        </w:tc>
        <w:tc>
          <w:tcPr>
            <w:tcW w:w="8395" w:type="dxa"/>
          </w:tcPr>
          <w:p w14:paraId="5CD33025" w14:textId="77777777" w:rsidR="00044B66" w:rsidRPr="008841A5" w:rsidRDefault="00044B66" w:rsidP="00760C44">
            <w:pPr>
              <w:rPr>
                <w:rFonts w:ascii="Arial" w:hAnsi="Arial" w:cs="Arial"/>
                <w:b/>
                <w:sz w:val="24"/>
                <w:szCs w:val="24"/>
              </w:rPr>
            </w:pPr>
            <w:r>
              <w:rPr>
                <w:rFonts w:ascii="Arial" w:hAnsi="Arial" w:cs="Arial"/>
                <w:b/>
                <w:sz w:val="24"/>
                <w:szCs w:val="24"/>
              </w:rPr>
              <w:t>July 24</w:t>
            </w:r>
          </w:p>
        </w:tc>
      </w:tr>
    </w:tbl>
    <w:p w14:paraId="47640412" w14:textId="77777777" w:rsidR="00044B66" w:rsidRDefault="00044B66" w:rsidP="00044B66">
      <w:pPr>
        <w:spacing w:after="200" w:line="276" w:lineRule="auto"/>
        <w:rPr>
          <w:rFonts w:ascii="Arial" w:eastAsia="Arial" w:hAnsi="Arial" w:cs="Arial"/>
          <w:b/>
          <w:sz w:val="24"/>
          <w:szCs w:val="24"/>
          <w:lang w:eastAsia="en-GB" w:bidi="en-GB"/>
        </w:rPr>
      </w:pPr>
      <w:r>
        <w:rPr>
          <w:rFonts w:ascii="Arial" w:eastAsia="Arial" w:hAnsi="Arial" w:cs="Arial"/>
          <w:b/>
          <w:sz w:val="24"/>
          <w:szCs w:val="24"/>
          <w:lang w:eastAsia="en-GB" w:bidi="en-GB"/>
        </w:rPr>
        <w:br w:type="page"/>
      </w:r>
    </w:p>
    <w:p w14:paraId="62FD0087" w14:textId="77777777" w:rsidR="00044B66" w:rsidRPr="002B7C3D" w:rsidRDefault="00044B66" w:rsidP="00044B66">
      <w:pPr>
        <w:widowControl w:val="0"/>
        <w:autoSpaceDE w:val="0"/>
        <w:autoSpaceDN w:val="0"/>
        <w:spacing w:before="65" w:line="368" w:lineRule="exact"/>
        <w:jc w:val="both"/>
        <w:rPr>
          <w:rFonts w:ascii="Arial" w:eastAsia="Arial" w:hAnsi="Arial" w:cs="Arial"/>
          <w:b/>
          <w:sz w:val="24"/>
          <w:szCs w:val="24"/>
          <w:lang w:eastAsia="en-GB" w:bidi="en-GB"/>
        </w:rPr>
      </w:pPr>
      <w:r w:rsidRPr="002B7C3D">
        <w:rPr>
          <w:rFonts w:ascii="Arial" w:eastAsia="Arial" w:hAnsi="Arial" w:cs="Arial"/>
          <w:b/>
          <w:sz w:val="24"/>
          <w:szCs w:val="24"/>
          <w:lang w:eastAsia="en-GB" w:bidi="en-GB"/>
        </w:rPr>
        <w:lastRenderedPageBreak/>
        <w:t>Summary</w:t>
      </w:r>
    </w:p>
    <w:p w14:paraId="1F0A1AA7" w14:textId="77777777" w:rsidR="00044B66" w:rsidRPr="002B7C3D" w:rsidRDefault="00044B66" w:rsidP="00044B66">
      <w:pPr>
        <w:widowControl w:val="0"/>
        <w:autoSpaceDE w:val="0"/>
        <w:autoSpaceDN w:val="0"/>
        <w:spacing w:before="65" w:line="368" w:lineRule="exact"/>
        <w:ind w:left="1814"/>
        <w:jc w:val="both"/>
        <w:rPr>
          <w:rFonts w:ascii="Arial" w:eastAsia="Arial" w:hAnsi="Arial" w:cs="Arial"/>
          <w:b/>
          <w:sz w:val="31"/>
          <w:lang w:eastAsia="en-GB" w:bidi="en-GB"/>
        </w:rPr>
      </w:pPr>
      <w:r w:rsidRPr="002B7C3D">
        <w:rPr>
          <w:rFonts w:ascii="Arial" w:eastAsia="Arial" w:hAnsi="Arial" w:cs="Arial"/>
          <w:b/>
          <w:noProof/>
          <w:sz w:val="31"/>
          <w:lang w:eastAsia="en-GB"/>
        </w:rPr>
        <mc:AlternateContent>
          <mc:Choice Requires="wps">
            <w:drawing>
              <wp:anchor distT="0" distB="0" distL="114300" distR="114300" simplePos="0" relativeHeight="251675648" behindDoc="0" locked="0" layoutInCell="1" allowOverlap="1" wp14:anchorId="28FE69BE" wp14:editId="432B717E">
                <wp:simplePos x="0" y="0"/>
                <wp:positionH relativeFrom="column">
                  <wp:posOffset>-218440</wp:posOffset>
                </wp:positionH>
                <wp:positionV relativeFrom="paragraph">
                  <wp:posOffset>263525</wp:posOffset>
                </wp:positionV>
                <wp:extent cx="6711315" cy="973455"/>
                <wp:effectExtent l="0" t="0" r="1333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973455"/>
                        </a:xfrm>
                        <a:prstGeom prst="rect">
                          <a:avLst/>
                        </a:prstGeom>
                        <a:solidFill>
                          <a:srgbClr val="FFFFFF"/>
                        </a:solidFill>
                        <a:ln w="9525">
                          <a:solidFill>
                            <a:srgbClr val="000000"/>
                          </a:solidFill>
                          <a:miter lim="800000"/>
                          <a:headEnd/>
                          <a:tailEnd/>
                        </a:ln>
                      </wps:spPr>
                      <wps:txbx>
                        <w:txbxContent>
                          <w:p w14:paraId="021B0FEA" w14:textId="77777777" w:rsidR="00044B66" w:rsidRPr="00E11E7D" w:rsidRDefault="00044B66" w:rsidP="00044B66">
                            <w:r w:rsidRPr="00E11E7D">
                              <w:t>Post-menopausal women with breast cancer at sufficient increased risk of recurrence will be offered a bisphosphonate (by the hospital specialist) to reduce their risk of recurrence and mortality from breast cancer*.</w:t>
                            </w:r>
                          </w:p>
                          <w:p w14:paraId="633E3A8E" w14:textId="77777777" w:rsidR="00044B66" w:rsidRPr="00E11E7D" w:rsidRDefault="00044B66" w:rsidP="00044B66">
                            <w:r w:rsidRPr="00E11E7D">
                              <w:t xml:space="preserve">Either as zoledronic acid 4mg IV 6 monthly OR </w:t>
                            </w:r>
                            <w:proofErr w:type="spellStart"/>
                            <w:r w:rsidRPr="00E11E7D">
                              <w:t>ibandronic</w:t>
                            </w:r>
                            <w:proofErr w:type="spellEnd"/>
                            <w:r w:rsidRPr="00E11E7D">
                              <w:t xml:space="preserve"> acid 50mg tablets (one daily) from the start of adjuvant therapy for a period of 3 years.</w:t>
                            </w:r>
                          </w:p>
                          <w:p w14:paraId="65593C6B" w14:textId="77777777" w:rsidR="00044B66" w:rsidRDefault="00044B66" w:rsidP="00044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E69BE" id="_x0000_s1029" type="#_x0000_t202" style="position:absolute;left:0;text-align:left;margin-left:-17.2pt;margin-top:20.75pt;width:528.45pt;height:7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">
                <v:textbox>
                  <w:txbxContent>
                    <w:p w14:paraId="021B0FEA" w14:textId="77777777" w:rsidR="00044B66" w:rsidRPr="00E11E7D" w:rsidRDefault="00044B66" w:rsidP="00044B66">
                      <w:r w:rsidRPr="00E11E7D">
                        <w:t>Post-menopausal women with breast cancer at sufficient increased risk of recurrence will be offered a bisphosphonate (by the hospital specialist) to reduce their risk of recurrence and mortality from breast cancer*.</w:t>
                      </w:r>
                    </w:p>
                    <w:p w14:paraId="633E3A8E" w14:textId="77777777" w:rsidR="00044B66" w:rsidRPr="00E11E7D" w:rsidRDefault="00044B66" w:rsidP="00044B66">
                      <w:r w:rsidRPr="00E11E7D">
                        <w:t xml:space="preserve">Either as zoledronic acid 4mg IV 6 monthly OR </w:t>
                      </w:r>
                      <w:proofErr w:type="spellStart"/>
                      <w:r w:rsidRPr="00E11E7D">
                        <w:t>ibandronic</w:t>
                      </w:r>
                      <w:proofErr w:type="spellEnd"/>
                      <w:r w:rsidRPr="00E11E7D">
                        <w:t xml:space="preserve"> acid 50mg tablets (one daily) from the start of adjuvant therapy for a period of 3 years.</w:t>
                      </w:r>
                    </w:p>
                    <w:p w14:paraId="65593C6B" w14:textId="77777777" w:rsidR="00044B66" w:rsidRDefault="00044B66" w:rsidP="00044B66"/>
                  </w:txbxContent>
                </v:textbox>
              </v:shape>
            </w:pict>
          </mc:Fallback>
        </mc:AlternateContent>
      </w:r>
    </w:p>
    <w:p w14:paraId="61AD49D0" w14:textId="77777777" w:rsidR="00044B66" w:rsidRPr="002B7C3D" w:rsidRDefault="00044B66" w:rsidP="00044B66">
      <w:pPr>
        <w:widowControl w:val="0"/>
        <w:autoSpaceDE w:val="0"/>
        <w:autoSpaceDN w:val="0"/>
        <w:spacing w:before="65" w:line="368" w:lineRule="exact"/>
        <w:ind w:left="1814"/>
        <w:jc w:val="both"/>
        <w:rPr>
          <w:rFonts w:ascii="Arial" w:eastAsia="Arial" w:hAnsi="Arial" w:cs="Arial"/>
          <w:b/>
          <w:sz w:val="31"/>
          <w:lang w:eastAsia="en-GB" w:bidi="en-GB"/>
        </w:rPr>
      </w:pPr>
    </w:p>
    <w:p w14:paraId="4FF5A5E6" w14:textId="77777777" w:rsidR="00044B66" w:rsidRPr="002B7C3D" w:rsidRDefault="00044B66" w:rsidP="00044B66">
      <w:pPr>
        <w:widowControl w:val="0"/>
        <w:autoSpaceDE w:val="0"/>
        <w:autoSpaceDN w:val="0"/>
        <w:spacing w:before="65" w:line="368" w:lineRule="exact"/>
        <w:ind w:left="1814"/>
        <w:jc w:val="both"/>
        <w:rPr>
          <w:rFonts w:ascii="Arial" w:eastAsia="Arial" w:hAnsi="Arial" w:cs="Arial"/>
          <w:b/>
          <w:sz w:val="31"/>
          <w:lang w:eastAsia="en-GB" w:bidi="en-GB"/>
        </w:rPr>
      </w:pPr>
    </w:p>
    <w:p w14:paraId="1DEA53A1" w14:textId="77777777" w:rsidR="00044B66" w:rsidRPr="002B7C3D" w:rsidRDefault="00044B66" w:rsidP="00044B66">
      <w:pPr>
        <w:widowControl w:val="0"/>
        <w:autoSpaceDE w:val="0"/>
        <w:autoSpaceDN w:val="0"/>
        <w:spacing w:before="65" w:line="368" w:lineRule="exact"/>
        <w:ind w:left="1814"/>
        <w:jc w:val="both"/>
        <w:rPr>
          <w:rFonts w:ascii="Arial" w:eastAsia="Arial" w:hAnsi="Arial" w:cs="Arial"/>
          <w:b/>
          <w:sz w:val="31"/>
          <w:lang w:eastAsia="en-GB" w:bidi="en-GB"/>
        </w:rPr>
      </w:pPr>
    </w:p>
    <w:p w14:paraId="4197109E" w14:textId="77777777" w:rsidR="00044B66" w:rsidRPr="002B7C3D" w:rsidRDefault="00044B66" w:rsidP="00044B66">
      <w:pPr>
        <w:widowControl w:val="0"/>
        <w:autoSpaceDE w:val="0"/>
        <w:autoSpaceDN w:val="0"/>
        <w:spacing w:before="65" w:line="368" w:lineRule="exact"/>
        <w:ind w:left="1814"/>
        <w:jc w:val="both"/>
        <w:rPr>
          <w:rFonts w:ascii="Trebuchet MS" w:eastAsia="Arial" w:hAnsi="Arial" w:cs="Arial"/>
          <w:lang w:eastAsia="en-GB" w:bidi="en-GB"/>
        </w:rPr>
      </w:pPr>
      <w:r w:rsidRPr="002B7C3D">
        <w:rPr>
          <w:rFonts w:ascii="Arial" w:eastAsia="Arial" w:hAnsi="Arial" w:cs="Arial"/>
          <w:b/>
          <w:noProof/>
          <w:sz w:val="31"/>
          <w:lang w:eastAsia="en-GB"/>
        </w:rPr>
        <mc:AlternateContent>
          <mc:Choice Requires="wps">
            <w:drawing>
              <wp:anchor distT="0" distB="0" distL="114300" distR="114300" simplePos="0" relativeHeight="251670528" behindDoc="0" locked="0" layoutInCell="1" allowOverlap="1" wp14:anchorId="74ADD5F2" wp14:editId="4BF5A9B0">
                <wp:simplePos x="0" y="0"/>
                <wp:positionH relativeFrom="column">
                  <wp:posOffset>4864567</wp:posOffset>
                </wp:positionH>
                <wp:positionV relativeFrom="paragraph">
                  <wp:posOffset>136933</wp:posOffset>
                </wp:positionV>
                <wp:extent cx="0" cy="315595"/>
                <wp:effectExtent l="133350" t="0" r="57150" b="46355"/>
                <wp:wrapNone/>
                <wp:docPr id="90" name="Straight Arrow Connector 90"/>
                <wp:cNvGraphicFramePr/>
                <a:graphic xmlns:a="http://schemas.openxmlformats.org/drawingml/2006/main">
                  <a:graphicData uri="http://schemas.microsoft.com/office/word/2010/wordprocessingShape">
                    <wps:wsp>
                      <wps:cNvCnPr/>
                      <wps:spPr>
                        <a:xfrm>
                          <a:off x="0" y="0"/>
                          <a:ext cx="0" cy="315595"/>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1BF3E015" id="_x0000_t32" coordsize="21600,21600" o:spt="32" o:oned="t" path="m,l21600,21600e" filled="f">
                <v:path arrowok="t" fillok="f" o:connecttype="none"/>
                <o:lock v:ext="edit" shapetype="t"/>
              </v:shapetype>
              <v:shape id="Straight Arrow Connector 90" o:spid="_x0000_s1026" type="#_x0000_t32" style="position:absolute;margin-left:383.05pt;margin-top:10.8pt;width:0;height:24.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" strokecolor="windowText" strokeweight="3pt">
                <v:stroke endarrow="open"/>
              </v:shape>
            </w:pict>
          </mc:Fallback>
        </mc:AlternateContent>
      </w:r>
      <w:r w:rsidRPr="002B7C3D">
        <w:rPr>
          <w:rFonts w:ascii="Arial" w:eastAsia="Arial" w:hAnsi="Arial" w:cs="Arial"/>
          <w:b/>
          <w:noProof/>
          <w:sz w:val="31"/>
          <w:lang w:eastAsia="en-GB"/>
        </w:rPr>
        <mc:AlternateContent>
          <mc:Choice Requires="wps">
            <w:drawing>
              <wp:anchor distT="0" distB="0" distL="114300" distR="114300" simplePos="0" relativeHeight="251669504" behindDoc="0" locked="0" layoutInCell="1" allowOverlap="1" wp14:anchorId="2A7B99AF" wp14:editId="62C392C2">
                <wp:simplePos x="0" y="0"/>
                <wp:positionH relativeFrom="column">
                  <wp:posOffset>1630045</wp:posOffset>
                </wp:positionH>
                <wp:positionV relativeFrom="paragraph">
                  <wp:posOffset>118110</wp:posOffset>
                </wp:positionV>
                <wp:extent cx="0" cy="329565"/>
                <wp:effectExtent l="133350" t="0" r="57150" b="51435"/>
                <wp:wrapNone/>
                <wp:docPr id="89" name="Straight Arrow Connector 89"/>
                <wp:cNvGraphicFramePr/>
                <a:graphic xmlns:a="http://schemas.openxmlformats.org/drawingml/2006/main">
                  <a:graphicData uri="http://schemas.microsoft.com/office/word/2010/wordprocessingShape">
                    <wps:wsp>
                      <wps:cNvCnPr/>
                      <wps:spPr>
                        <a:xfrm>
                          <a:off x="0" y="0"/>
                          <a:ext cx="0" cy="329565"/>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63BC18C" id="Straight Arrow Connector 89" o:spid="_x0000_s1026" type="#_x0000_t32" style="position:absolute;margin-left:128.35pt;margin-top:9.3pt;width:0;height:25.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" strokecolor="windowText" strokeweight="3pt">
                <v:stroke endarrow="open"/>
              </v:shape>
            </w:pict>
          </mc:Fallback>
        </mc:AlternateContent>
      </w:r>
      <w:r w:rsidRPr="002B7C3D">
        <w:rPr>
          <w:rFonts w:ascii="Arial" w:eastAsia="Arial" w:hAnsi="Arial" w:cs="Arial"/>
          <w:noProof/>
          <w:color w:val="FF0000"/>
          <w:lang w:eastAsia="en-GB"/>
        </w:rPr>
        <mc:AlternateContent>
          <mc:Choice Requires="wps">
            <w:drawing>
              <wp:anchor distT="0" distB="0" distL="114300" distR="114300" simplePos="0" relativeHeight="251665408" behindDoc="0" locked="0" layoutInCell="1" allowOverlap="1" wp14:anchorId="03E2018F" wp14:editId="10627FB4">
                <wp:simplePos x="0" y="0"/>
                <wp:positionH relativeFrom="column">
                  <wp:posOffset>3562350</wp:posOffset>
                </wp:positionH>
                <wp:positionV relativeFrom="paragraph">
                  <wp:posOffset>163195</wp:posOffset>
                </wp:positionV>
                <wp:extent cx="2717165" cy="783590"/>
                <wp:effectExtent l="0" t="0" r="26035" b="1651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783590"/>
                        </a:xfrm>
                        <a:prstGeom prst="rect">
                          <a:avLst/>
                        </a:prstGeom>
                        <a:solidFill>
                          <a:srgbClr val="FFFFFF"/>
                        </a:solidFill>
                        <a:ln w="9525">
                          <a:solidFill>
                            <a:srgbClr val="000000"/>
                          </a:solidFill>
                          <a:miter lim="800000"/>
                          <a:headEnd/>
                          <a:tailEnd/>
                        </a:ln>
                      </wps:spPr>
                      <wps:txbx>
                        <w:txbxContent>
                          <w:p w14:paraId="779C81A1" w14:textId="77777777" w:rsidR="00044B66" w:rsidRDefault="00044B66" w:rsidP="00044B66">
                            <w:pPr>
                              <w:rPr>
                                <w:b/>
                              </w:rPr>
                            </w:pPr>
                            <w:r w:rsidRPr="00E11E7D">
                              <w:rPr>
                                <w:b/>
                              </w:rPr>
                              <w:t xml:space="preserve">Where chemotherapy is not planned: </w:t>
                            </w:r>
                          </w:p>
                          <w:p w14:paraId="4A25F97F" w14:textId="77777777" w:rsidR="00044B66" w:rsidRPr="00E11E7D" w:rsidRDefault="00044B66" w:rsidP="00044B66">
                            <w:proofErr w:type="spellStart"/>
                            <w:r w:rsidRPr="00E11E7D">
                              <w:t>Ibandronic</w:t>
                            </w:r>
                            <w:proofErr w:type="spellEnd"/>
                            <w:r w:rsidRPr="00E11E7D">
                              <w:t xml:space="preserve"> acid 50mg tablets (one daily) for </w:t>
                            </w:r>
                            <w:r>
                              <w:t xml:space="preserve">up to </w:t>
                            </w:r>
                            <w:r w:rsidRPr="00E11E7D">
                              <w:t>3</w:t>
                            </w:r>
                            <w:r>
                              <w:t xml:space="preserve"> years </w:t>
                            </w:r>
                            <w:r w:rsidRPr="00E11E7D">
                              <w:t>will be offered.</w:t>
                            </w:r>
                          </w:p>
                          <w:p w14:paraId="2DE1484B" w14:textId="77777777" w:rsidR="00044B66" w:rsidRDefault="00044B66" w:rsidP="00044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2018F" id="_x0000_s1030" type="#_x0000_t202" style="position:absolute;left:0;text-align:left;margin-left:280.5pt;margin-top:12.85pt;width:213.95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2RKA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">
                <v:textbox>
                  <w:txbxContent>
                    <w:p w14:paraId="779C81A1" w14:textId="77777777" w:rsidR="00044B66" w:rsidRDefault="00044B66" w:rsidP="00044B66">
                      <w:pPr>
                        <w:rPr>
                          <w:b/>
                        </w:rPr>
                      </w:pPr>
                      <w:r w:rsidRPr="00E11E7D">
                        <w:rPr>
                          <w:b/>
                        </w:rPr>
                        <w:t xml:space="preserve">Where chemotherapy is not planned: </w:t>
                      </w:r>
                    </w:p>
                    <w:p w14:paraId="4A25F97F" w14:textId="77777777" w:rsidR="00044B66" w:rsidRPr="00E11E7D" w:rsidRDefault="00044B66" w:rsidP="00044B66">
                      <w:proofErr w:type="spellStart"/>
                      <w:r w:rsidRPr="00E11E7D">
                        <w:t>Ibandronic</w:t>
                      </w:r>
                      <w:proofErr w:type="spellEnd"/>
                      <w:r w:rsidRPr="00E11E7D">
                        <w:t xml:space="preserve"> acid 50mg tablets (one daily) for </w:t>
                      </w:r>
                      <w:r>
                        <w:t xml:space="preserve">up to </w:t>
                      </w:r>
                      <w:r w:rsidRPr="00E11E7D">
                        <w:t>3</w:t>
                      </w:r>
                      <w:r>
                        <w:t xml:space="preserve"> years </w:t>
                      </w:r>
                      <w:r w:rsidRPr="00E11E7D">
                        <w:t>will be offered.</w:t>
                      </w:r>
                    </w:p>
                    <w:p w14:paraId="2DE1484B" w14:textId="77777777" w:rsidR="00044B66" w:rsidRDefault="00044B66" w:rsidP="00044B66"/>
                  </w:txbxContent>
                </v:textbox>
              </v:shape>
            </w:pict>
          </mc:Fallback>
        </mc:AlternateContent>
      </w:r>
    </w:p>
    <w:p w14:paraId="5B656207" w14:textId="77777777" w:rsidR="00044B66" w:rsidRPr="002B7C3D" w:rsidRDefault="00044B66" w:rsidP="00044B66">
      <w:pPr>
        <w:widowControl w:val="0"/>
        <w:autoSpaceDE w:val="0"/>
        <w:autoSpaceDN w:val="0"/>
        <w:jc w:val="both"/>
        <w:rPr>
          <w:rFonts w:ascii="Trebuchet MS" w:eastAsia="Arial" w:hAnsi="Arial" w:cs="Arial"/>
          <w:b/>
          <w:color w:val="FF0000"/>
          <w:sz w:val="20"/>
          <w:lang w:eastAsia="en-GB" w:bidi="en-GB"/>
        </w:rPr>
      </w:pPr>
      <w:r w:rsidRPr="002B7C3D">
        <w:rPr>
          <w:rFonts w:ascii="Trebuchet MS" w:eastAsia="Arial" w:hAnsi="Arial" w:cs="Arial"/>
          <w:noProof/>
          <w:sz w:val="25"/>
          <w:lang w:eastAsia="en-GB"/>
        </w:rPr>
        <mc:AlternateContent>
          <mc:Choice Requires="wps">
            <w:drawing>
              <wp:anchor distT="0" distB="0" distL="114300" distR="114300" simplePos="0" relativeHeight="251664384" behindDoc="0" locked="0" layoutInCell="1" allowOverlap="1" wp14:anchorId="2DC9CB13" wp14:editId="31805199">
                <wp:simplePos x="0" y="0"/>
                <wp:positionH relativeFrom="column">
                  <wp:posOffset>78752</wp:posOffset>
                </wp:positionH>
                <wp:positionV relativeFrom="paragraph">
                  <wp:posOffset>6350</wp:posOffset>
                </wp:positionV>
                <wp:extent cx="3027680" cy="617220"/>
                <wp:effectExtent l="0" t="0" r="20320" b="1143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617220"/>
                        </a:xfrm>
                        <a:prstGeom prst="rect">
                          <a:avLst/>
                        </a:prstGeom>
                        <a:solidFill>
                          <a:srgbClr val="FFFFFF"/>
                        </a:solidFill>
                        <a:ln w="9525">
                          <a:solidFill>
                            <a:srgbClr val="000000"/>
                          </a:solidFill>
                          <a:miter lim="800000"/>
                          <a:headEnd/>
                          <a:tailEnd/>
                        </a:ln>
                      </wps:spPr>
                      <wps:txbx>
                        <w:txbxContent>
                          <w:p w14:paraId="11955699" w14:textId="77777777" w:rsidR="00044B66" w:rsidRDefault="00044B66" w:rsidP="00044B66">
                            <w:r w:rsidRPr="00E11E7D">
                              <w:rPr>
                                <w:b/>
                                <w:bCs/>
                              </w:rPr>
                              <w:t>Where chemotherapy is planned:</w:t>
                            </w:r>
                          </w:p>
                          <w:p w14:paraId="2927D6BE" w14:textId="77777777" w:rsidR="00044B66" w:rsidRPr="00E11E7D" w:rsidRDefault="00044B66" w:rsidP="00044B66">
                            <w:r w:rsidRPr="00E11E7D">
                              <w:t>Zoledronic acid 4mg IV 6 monthly for 3 years</w:t>
                            </w:r>
                          </w:p>
                          <w:p w14:paraId="78660279" w14:textId="77777777" w:rsidR="00044B66" w:rsidRDefault="00044B66" w:rsidP="00044B66">
                            <w:r w:rsidRPr="00E11E7D">
                              <w:br w:type="colum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9CB13" id="_x0000_s1031" type="#_x0000_t202" style="position:absolute;left:0;text-align:left;margin-left:6.2pt;margin-top:.5pt;width:238.4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NU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">
                <v:textbox>
                  <w:txbxContent>
                    <w:p w14:paraId="11955699" w14:textId="77777777" w:rsidR="00044B66" w:rsidRDefault="00044B66" w:rsidP="00044B66">
                      <w:r w:rsidRPr="00E11E7D">
                        <w:rPr>
                          <w:b/>
                          <w:bCs/>
                        </w:rPr>
                        <w:t>Where chemotherapy is planned:</w:t>
                      </w:r>
                    </w:p>
                    <w:p w14:paraId="2927D6BE" w14:textId="77777777" w:rsidR="00044B66" w:rsidRPr="00E11E7D" w:rsidRDefault="00044B66" w:rsidP="00044B66">
                      <w:r w:rsidRPr="00E11E7D">
                        <w:t>Zoledronic acid 4mg IV 6 monthly for 3 years</w:t>
                      </w:r>
                    </w:p>
                    <w:p w14:paraId="78660279" w14:textId="77777777" w:rsidR="00044B66" w:rsidRDefault="00044B66" w:rsidP="00044B66">
                      <w:r w:rsidRPr="00E11E7D">
                        <w:br w:type="column"/>
                      </w:r>
                    </w:p>
                  </w:txbxContent>
                </v:textbox>
              </v:shape>
            </w:pict>
          </mc:Fallback>
        </mc:AlternateContent>
      </w:r>
    </w:p>
    <w:p w14:paraId="5B6E7E35" w14:textId="77777777" w:rsidR="00044B66" w:rsidRPr="002B7C3D" w:rsidRDefault="00044B66" w:rsidP="00044B66">
      <w:pPr>
        <w:widowControl w:val="0"/>
        <w:autoSpaceDE w:val="0"/>
        <w:autoSpaceDN w:val="0"/>
        <w:jc w:val="both"/>
        <w:rPr>
          <w:rFonts w:ascii="Trebuchet MS" w:eastAsia="Arial" w:hAnsi="Arial" w:cs="Arial"/>
          <w:color w:val="FF0000"/>
          <w:sz w:val="25"/>
          <w:lang w:eastAsia="en-GB" w:bidi="en-GB"/>
        </w:rPr>
        <w:sectPr w:rsidR="00044B66" w:rsidRPr="002B7C3D" w:rsidSect="00044B66">
          <w:pgSz w:w="12240" w:h="15840"/>
          <w:pgMar w:top="962" w:right="1440" w:bottom="1440" w:left="1440" w:header="284" w:footer="804" w:gutter="0"/>
          <w:cols w:space="720"/>
          <w:titlePg/>
          <w:docGrid w:linePitch="299"/>
        </w:sectPr>
      </w:pPr>
    </w:p>
    <w:p w14:paraId="38ECA506" w14:textId="77777777" w:rsidR="00044B66" w:rsidRPr="002B7C3D" w:rsidRDefault="00044B66" w:rsidP="00044B66">
      <w:pPr>
        <w:widowControl w:val="0"/>
        <w:autoSpaceDE w:val="0"/>
        <w:autoSpaceDN w:val="0"/>
        <w:spacing w:line="254" w:lineRule="auto"/>
        <w:jc w:val="both"/>
        <w:rPr>
          <w:rFonts w:ascii="Arial" w:eastAsia="Arial" w:hAnsi="Arial" w:cs="Arial"/>
          <w:color w:val="FF0000"/>
          <w:lang w:eastAsia="en-GB" w:bidi="en-GB"/>
        </w:rPr>
        <w:sectPr w:rsidR="00044B66" w:rsidRPr="002B7C3D" w:rsidSect="002B7C3D">
          <w:type w:val="continuous"/>
          <w:pgSz w:w="12240" w:h="15840"/>
          <w:pgMar w:top="962" w:right="1440" w:bottom="1440" w:left="1440" w:header="284" w:footer="804" w:gutter="0"/>
          <w:cols w:num="2" w:space="720" w:equalWidth="0">
            <w:col w:w="5294" w:space="40"/>
            <w:col w:w="4026"/>
          </w:cols>
        </w:sectPr>
      </w:pPr>
    </w:p>
    <w:p w14:paraId="6983B4FD" w14:textId="77777777" w:rsidR="00044B66" w:rsidRPr="00EF64CA" w:rsidRDefault="00044B66" w:rsidP="00044B66">
      <w:pPr>
        <w:widowControl w:val="0"/>
        <w:autoSpaceDE w:val="0"/>
        <w:autoSpaceDN w:val="0"/>
        <w:spacing w:before="1"/>
        <w:jc w:val="both"/>
        <w:rPr>
          <w:rFonts w:ascii="Arial" w:eastAsia="Arial" w:hAnsi="Arial" w:cs="Arial"/>
          <w:sz w:val="19"/>
          <w:lang w:eastAsia="en-GB" w:bidi="en-GB"/>
        </w:rPr>
        <w:sectPr w:rsidR="00044B66" w:rsidRPr="00EF64CA" w:rsidSect="002B7C3D">
          <w:type w:val="continuous"/>
          <w:pgSz w:w="12240" w:h="15840"/>
          <w:pgMar w:top="962" w:right="1440" w:bottom="1440" w:left="1440" w:header="284" w:footer="804" w:gutter="0"/>
          <w:cols w:space="720"/>
        </w:sectPr>
      </w:pPr>
      <w:r w:rsidRPr="002B7C3D">
        <w:rPr>
          <w:rFonts w:ascii="Arial" w:eastAsia="Arial" w:hAnsi="Arial" w:cs="Arial"/>
          <w:b/>
          <w:noProof/>
          <w:sz w:val="31"/>
          <w:lang w:eastAsia="en-GB"/>
        </w:rPr>
        <mc:AlternateContent>
          <mc:Choice Requires="wps">
            <w:drawing>
              <wp:anchor distT="0" distB="0" distL="114300" distR="114300" simplePos="0" relativeHeight="251672576" behindDoc="0" locked="0" layoutInCell="1" allowOverlap="1" wp14:anchorId="22C72F2E" wp14:editId="4E69ADF5">
                <wp:simplePos x="0" y="0"/>
                <wp:positionH relativeFrom="column">
                  <wp:posOffset>4867275</wp:posOffset>
                </wp:positionH>
                <wp:positionV relativeFrom="paragraph">
                  <wp:posOffset>360045</wp:posOffset>
                </wp:positionV>
                <wp:extent cx="0" cy="381000"/>
                <wp:effectExtent l="133350" t="0" r="95250" b="57150"/>
                <wp:wrapNone/>
                <wp:docPr id="92" name="Straight Arrow Connector 9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3F33F41" id="Straight Arrow Connector 92" o:spid="_x0000_s1026" type="#_x0000_t32" style="position:absolute;margin-left:383.25pt;margin-top:28.35pt;width:0;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" strokecolor="windowText" strokeweight="3pt">
                <v:stroke endarrow="open"/>
              </v:shape>
            </w:pict>
          </mc:Fallback>
        </mc:AlternateContent>
      </w:r>
      <w:r w:rsidRPr="002B7C3D">
        <w:rPr>
          <w:rFonts w:ascii="Arial" w:eastAsia="Arial" w:hAnsi="Arial" w:cs="Arial"/>
          <w:b/>
          <w:noProof/>
          <w:sz w:val="31"/>
          <w:lang w:eastAsia="en-GB"/>
        </w:rPr>
        <mc:AlternateContent>
          <mc:Choice Requires="wps">
            <w:drawing>
              <wp:anchor distT="0" distB="0" distL="114300" distR="114300" simplePos="0" relativeHeight="251671552" behindDoc="0" locked="0" layoutInCell="1" allowOverlap="1" wp14:anchorId="47437D53" wp14:editId="032BB385">
                <wp:simplePos x="0" y="0"/>
                <wp:positionH relativeFrom="column">
                  <wp:posOffset>1628775</wp:posOffset>
                </wp:positionH>
                <wp:positionV relativeFrom="paragraph">
                  <wp:posOffset>217805</wp:posOffset>
                </wp:positionV>
                <wp:extent cx="0" cy="523240"/>
                <wp:effectExtent l="133350" t="0" r="76200" b="48260"/>
                <wp:wrapNone/>
                <wp:docPr id="91" name="Straight Arrow Connector 91"/>
                <wp:cNvGraphicFramePr/>
                <a:graphic xmlns:a="http://schemas.openxmlformats.org/drawingml/2006/main">
                  <a:graphicData uri="http://schemas.microsoft.com/office/word/2010/wordprocessingShape">
                    <wps:wsp>
                      <wps:cNvCnPr/>
                      <wps:spPr>
                        <a:xfrm>
                          <a:off x="0" y="0"/>
                          <a:ext cx="0" cy="523240"/>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2C3726CA" id="Straight Arrow Connector 91" o:spid="_x0000_s1026" type="#_x0000_t32" style="position:absolute;margin-left:128.25pt;margin-top:17.15pt;width:0;height:4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" strokecolor="windowText" strokeweight="3pt">
                <v:stroke endarrow="open"/>
              </v:shape>
            </w:pict>
          </mc:Fallback>
        </mc:AlternateContent>
      </w:r>
      <w:r w:rsidRPr="002B7C3D">
        <w:rPr>
          <w:rFonts w:ascii="Arial" w:eastAsia="Arial" w:hAnsi="Arial" w:cs="Arial"/>
          <w:noProof/>
          <w:sz w:val="19"/>
          <w:lang w:eastAsia="en-GB"/>
        </w:rPr>
        <mc:AlternateContent>
          <mc:Choice Requires="wps">
            <w:drawing>
              <wp:anchor distT="0" distB="0" distL="114300" distR="114300" simplePos="0" relativeHeight="251666432" behindDoc="0" locked="0" layoutInCell="1" allowOverlap="1" wp14:anchorId="3E92AB0A" wp14:editId="1BB8818B">
                <wp:simplePos x="0" y="0"/>
                <wp:positionH relativeFrom="column">
                  <wp:posOffset>-266700</wp:posOffset>
                </wp:positionH>
                <wp:positionV relativeFrom="paragraph">
                  <wp:posOffset>737870</wp:posOffset>
                </wp:positionV>
                <wp:extent cx="6899275" cy="1800225"/>
                <wp:effectExtent l="0" t="0" r="15875" b="285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800225"/>
                        </a:xfrm>
                        <a:prstGeom prst="rect">
                          <a:avLst/>
                        </a:prstGeom>
                        <a:solidFill>
                          <a:srgbClr val="FFFFFF"/>
                        </a:solidFill>
                        <a:ln w="9525">
                          <a:solidFill>
                            <a:srgbClr val="000000"/>
                          </a:solidFill>
                          <a:miter lim="800000"/>
                          <a:headEnd/>
                          <a:tailEnd/>
                        </a:ln>
                      </wps:spPr>
                      <wps:txbx>
                        <w:txbxContent>
                          <w:p w14:paraId="697E8889" w14:textId="77777777" w:rsidR="00044B66" w:rsidRDefault="00044B66" w:rsidP="00044B66">
                            <w:pPr>
                              <w:rPr>
                                <w:b/>
                              </w:rPr>
                            </w:pPr>
                            <w:r w:rsidRPr="00041D7B">
                              <w:rPr>
                                <w:b/>
                              </w:rPr>
                              <w:t>Responsibilities of hospital specialist:</w:t>
                            </w:r>
                            <w:r>
                              <w:rPr>
                                <w:b/>
                              </w:rPr>
                              <w:t xml:space="preserve"> </w:t>
                            </w:r>
                          </w:p>
                          <w:p w14:paraId="3648D0CD" w14:textId="77777777" w:rsidR="00044B66" w:rsidRPr="00041D7B" w:rsidRDefault="00044B66" w:rsidP="00241293">
                            <w:pPr>
                              <w:pStyle w:val="ListParagraph"/>
                              <w:numPr>
                                <w:ilvl w:val="3"/>
                                <w:numId w:val="21"/>
                              </w:numPr>
                              <w:spacing w:after="200" w:line="276" w:lineRule="auto"/>
                              <w:ind w:left="426"/>
                            </w:pPr>
                            <w:r w:rsidRPr="00041D7B">
                              <w:t>Discuss rationale for treatment with patient with the explanation that this is an unlicensed indication.</w:t>
                            </w:r>
                            <w:r>
                              <w:t xml:space="preserve"> Document it on the patient’s notes and hand out the “unlicensed and off label PIL” </w:t>
                            </w:r>
                            <w:hyperlink r:id="rId18" w:history="1">
                              <w:r w:rsidRPr="00550B3F">
                                <w:rPr>
                                  <w:rStyle w:val="Hyperlink1"/>
                                </w:rPr>
                                <w:t>https://www.hey.nhs.uk/wp/wp-content/uploads/2016/03/unlicensedOffLabelMedicines.pdf</w:t>
                              </w:r>
                            </w:hyperlink>
                            <w:r>
                              <w:t xml:space="preserve"> </w:t>
                            </w:r>
                          </w:p>
                          <w:p w14:paraId="227F2AEE" w14:textId="77777777" w:rsidR="00044B66" w:rsidRPr="00041D7B" w:rsidRDefault="00044B66" w:rsidP="00241293">
                            <w:pPr>
                              <w:pStyle w:val="ListParagraph"/>
                              <w:widowControl w:val="0"/>
                              <w:numPr>
                                <w:ilvl w:val="0"/>
                                <w:numId w:val="21"/>
                              </w:numPr>
                              <w:autoSpaceDE w:val="0"/>
                              <w:autoSpaceDN w:val="0"/>
                              <w:ind w:left="426"/>
                              <w:contextualSpacing w:val="0"/>
                            </w:pPr>
                            <w:r w:rsidRPr="00041D7B">
                              <w:t>Side effects to be discussed, including osteonecrosis of the jaw (dental examination advised prior to treatment) and atypical femoral fracture. Patients need to be able to comply with dosing instructions.</w:t>
                            </w:r>
                          </w:p>
                          <w:p w14:paraId="039EB9DE" w14:textId="77777777" w:rsidR="00044B66" w:rsidRPr="00041D7B" w:rsidRDefault="00044B66" w:rsidP="00241293">
                            <w:pPr>
                              <w:pStyle w:val="ListParagraph"/>
                              <w:widowControl w:val="0"/>
                              <w:numPr>
                                <w:ilvl w:val="0"/>
                                <w:numId w:val="21"/>
                              </w:numPr>
                              <w:autoSpaceDE w:val="0"/>
                              <w:autoSpaceDN w:val="0"/>
                              <w:ind w:left="426"/>
                              <w:contextualSpacing w:val="0"/>
                            </w:pPr>
                            <w:r w:rsidRPr="00041D7B">
                              <w:t xml:space="preserve">Responsible for starting </w:t>
                            </w:r>
                            <w:proofErr w:type="spellStart"/>
                            <w:r w:rsidRPr="00041D7B">
                              <w:t>ibandronic</w:t>
                            </w:r>
                            <w:proofErr w:type="spellEnd"/>
                            <w:r w:rsidRPr="00041D7B">
                              <w:t xml:space="preserve"> acid 50mg (one daily); minimum </w:t>
                            </w:r>
                            <w:proofErr w:type="gramStart"/>
                            <w:r w:rsidRPr="00041D7B">
                              <w:t>28 day</w:t>
                            </w:r>
                            <w:proofErr w:type="gramEnd"/>
                            <w:r w:rsidRPr="00041D7B">
                              <w:t xml:space="preserve"> script will be supplied.</w:t>
                            </w:r>
                          </w:p>
                          <w:p w14:paraId="7B4D1F1C" w14:textId="77777777" w:rsidR="00044B66" w:rsidRDefault="00044B66" w:rsidP="00241293">
                            <w:pPr>
                              <w:pStyle w:val="ListParagraph"/>
                              <w:widowControl w:val="0"/>
                              <w:numPr>
                                <w:ilvl w:val="0"/>
                                <w:numId w:val="21"/>
                              </w:numPr>
                              <w:autoSpaceDE w:val="0"/>
                              <w:autoSpaceDN w:val="0"/>
                              <w:ind w:left="426"/>
                              <w:contextualSpacing w:val="0"/>
                            </w:pPr>
                            <w:r w:rsidRPr="00041D7B">
                              <w:t xml:space="preserve">Request GP to continue prescribing </w:t>
                            </w:r>
                            <w:proofErr w:type="spellStart"/>
                            <w:r w:rsidRPr="00041D7B">
                              <w:t>ibandronic</w:t>
                            </w:r>
                            <w:proofErr w:type="spellEnd"/>
                            <w:r w:rsidRPr="00041D7B">
                              <w:t xml:space="preserve"> acid for up to 3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2AB0A" id="_x0000_s1032" type="#_x0000_t202" style="position:absolute;left:0;text-align:left;margin-left:-21pt;margin-top:58.1pt;width:543.2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OJgIAAE0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">
                <v:textbox>
                  <w:txbxContent>
                    <w:p w14:paraId="697E8889" w14:textId="77777777" w:rsidR="00044B66" w:rsidRDefault="00044B66" w:rsidP="00044B66">
                      <w:pPr>
                        <w:rPr>
                          <w:b/>
                        </w:rPr>
                      </w:pPr>
                      <w:r w:rsidRPr="00041D7B">
                        <w:rPr>
                          <w:b/>
                        </w:rPr>
                        <w:t>Responsibilities of hospital specialist:</w:t>
                      </w:r>
                      <w:r>
                        <w:rPr>
                          <w:b/>
                        </w:rPr>
                        <w:t xml:space="preserve"> </w:t>
                      </w:r>
                    </w:p>
                    <w:p w14:paraId="3648D0CD" w14:textId="77777777" w:rsidR="00044B66" w:rsidRPr="00041D7B" w:rsidRDefault="00044B66" w:rsidP="00241293">
                      <w:pPr>
                        <w:pStyle w:val="ListParagraph"/>
                        <w:numPr>
                          <w:ilvl w:val="3"/>
                          <w:numId w:val="21"/>
                        </w:numPr>
                        <w:spacing w:after="200" w:line="276" w:lineRule="auto"/>
                        <w:ind w:left="426"/>
                      </w:pPr>
                      <w:r w:rsidRPr="00041D7B">
                        <w:t>Discuss rationale for treatment with patient with the explanation that this is an unlicensed indication.</w:t>
                      </w:r>
                      <w:r>
                        <w:t xml:space="preserve"> Document it on the patient’s notes and hand out the “unlicensed and off label PIL” </w:t>
                      </w:r>
                      <w:hyperlink r:id="rId20" w:history="1">
                        <w:r w:rsidRPr="00550B3F">
                          <w:rPr>
                            <w:rStyle w:val="Hyperlink1"/>
                          </w:rPr>
                          <w:t>https://www.hey.nhs.uk/wp/wp-content/uploads/2016/03/unlicensedOffLabelMedicines.pdf</w:t>
                        </w:r>
                      </w:hyperlink>
                      <w:r>
                        <w:t xml:space="preserve"> </w:t>
                      </w:r>
                    </w:p>
                    <w:p w14:paraId="227F2AEE" w14:textId="77777777" w:rsidR="00044B66" w:rsidRPr="00041D7B" w:rsidRDefault="00044B66" w:rsidP="00241293">
                      <w:pPr>
                        <w:pStyle w:val="ListParagraph"/>
                        <w:widowControl w:val="0"/>
                        <w:numPr>
                          <w:ilvl w:val="0"/>
                          <w:numId w:val="21"/>
                        </w:numPr>
                        <w:autoSpaceDE w:val="0"/>
                        <w:autoSpaceDN w:val="0"/>
                        <w:ind w:left="426"/>
                        <w:contextualSpacing w:val="0"/>
                      </w:pPr>
                      <w:r w:rsidRPr="00041D7B">
                        <w:t>Side effects to be discussed, including osteonecrosis of the jaw (dental examination advised prior to treatment) and atypical femoral fracture. Patients need to be able to comply with dosing instructions.</w:t>
                      </w:r>
                    </w:p>
                    <w:p w14:paraId="039EB9DE" w14:textId="77777777" w:rsidR="00044B66" w:rsidRPr="00041D7B" w:rsidRDefault="00044B66" w:rsidP="00241293">
                      <w:pPr>
                        <w:pStyle w:val="ListParagraph"/>
                        <w:widowControl w:val="0"/>
                        <w:numPr>
                          <w:ilvl w:val="0"/>
                          <w:numId w:val="21"/>
                        </w:numPr>
                        <w:autoSpaceDE w:val="0"/>
                        <w:autoSpaceDN w:val="0"/>
                        <w:ind w:left="426"/>
                        <w:contextualSpacing w:val="0"/>
                      </w:pPr>
                      <w:r w:rsidRPr="00041D7B">
                        <w:t xml:space="preserve">Responsible for starting </w:t>
                      </w:r>
                      <w:proofErr w:type="spellStart"/>
                      <w:r w:rsidRPr="00041D7B">
                        <w:t>ibandronic</w:t>
                      </w:r>
                      <w:proofErr w:type="spellEnd"/>
                      <w:r w:rsidRPr="00041D7B">
                        <w:t xml:space="preserve"> acid 50mg (one daily); minimum </w:t>
                      </w:r>
                      <w:proofErr w:type="gramStart"/>
                      <w:r w:rsidRPr="00041D7B">
                        <w:t>28 day</w:t>
                      </w:r>
                      <w:proofErr w:type="gramEnd"/>
                      <w:r w:rsidRPr="00041D7B">
                        <w:t xml:space="preserve"> script will be supplied.</w:t>
                      </w:r>
                    </w:p>
                    <w:p w14:paraId="7B4D1F1C" w14:textId="77777777" w:rsidR="00044B66" w:rsidRDefault="00044B66" w:rsidP="00241293">
                      <w:pPr>
                        <w:pStyle w:val="ListParagraph"/>
                        <w:widowControl w:val="0"/>
                        <w:numPr>
                          <w:ilvl w:val="0"/>
                          <w:numId w:val="21"/>
                        </w:numPr>
                        <w:autoSpaceDE w:val="0"/>
                        <w:autoSpaceDN w:val="0"/>
                        <w:ind w:left="426"/>
                        <w:contextualSpacing w:val="0"/>
                      </w:pPr>
                      <w:r w:rsidRPr="00041D7B">
                        <w:t xml:space="preserve">Request GP to continue prescribing </w:t>
                      </w:r>
                      <w:proofErr w:type="spellStart"/>
                      <w:r w:rsidRPr="00041D7B">
                        <w:t>ibandronic</w:t>
                      </w:r>
                      <w:proofErr w:type="spellEnd"/>
                      <w:r w:rsidRPr="00041D7B">
                        <w:t xml:space="preserve"> acid for up to 3 years </w:t>
                      </w:r>
                    </w:p>
                  </w:txbxContent>
                </v:textbox>
              </v:shape>
            </w:pict>
          </mc:Fallback>
        </mc:AlternateContent>
      </w:r>
      <w:r w:rsidRPr="002B7C3D">
        <w:rPr>
          <w:rFonts w:ascii="Arial" w:eastAsia="Arial" w:hAnsi="Arial" w:cs="Arial"/>
          <w:b/>
          <w:noProof/>
          <w:sz w:val="31"/>
          <w:lang w:eastAsia="en-GB"/>
        </w:rPr>
        <mc:AlternateContent>
          <mc:Choice Requires="wps">
            <w:drawing>
              <wp:anchor distT="0" distB="0" distL="114300" distR="114300" simplePos="0" relativeHeight="251674624" behindDoc="0" locked="0" layoutInCell="1" allowOverlap="1" wp14:anchorId="104E72FD" wp14:editId="2C9DFDF2">
                <wp:simplePos x="0" y="0"/>
                <wp:positionH relativeFrom="column">
                  <wp:posOffset>3013075</wp:posOffset>
                </wp:positionH>
                <wp:positionV relativeFrom="paragraph">
                  <wp:posOffset>5102860</wp:posOffset>
                </wp:positionV>
                <wp:extent cx="0" cy="344170"/>
                <wp:effectExtent l="133350" t="0" r="76200" b="55880"/>
                <wp:wrapNone/>
                <wp:docPr id="94" name="Straight Arrow Connector 94"/>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20C7D58" id="Straight Arrow Connector 94" o:spid="_x0000_s1026" type="#_x0000_t32" style="position:absolute;margin-left:237.25pt;margin-top:401.8pt;width:0;height:27.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" strokecolor="windowText" strokeweight="3pt">
                <v:stroke endarrow="open"/>
              </v:shape>
            </w:pict>
          </mc:Fallback>
        </mc:AlternateContent>
      </w:r>
      <w:r w:rsidRPr="002B7C3D">
        <w:rPr>
          <w:rFonts w:ascii="Trebuchet MS" w:eastAsia="Arial" w:hAnsi="Arial" w:cs="Arial"/>
          <w:b/>
          <w:noProof/>
          <w:sz w:val="20"/>
          <w:lang w:eastAsia="en-GB"/>
        </w:rPr>
        <mc:AlternateContent>
          <mc:Choice Requires="wps">
            <w:drawing>
              <wp:anchor distT="0" distB="0" distL="114300" distR="114300" simplePos="0" relativeHeight="251667456" behindDoc="0" locked="0" layoutInCell="1" allowOverlap="1" wp14:anchorId="442402EF" wp14:editId="34915262">
                <wp:simplePos x="0" y="0"/>
                <wp:positionH relativeFrom="column">
                  <wp:posOffset>-323850</wp:posOffset>
                </wp:positionH>
                <wp:positionV relativeFrom="paragraph">
                  <wp:posOffset>2900045</wp:posOffset>
                </wp:positionV>
                <wp:extent cx="6899275" cy="2200275"/>
                <wp:effectExtent l="0" t="0" r="15875" b="285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2200275"/>
                        </a:xfrm>
                        <a:prstGeom prst="rect">
                          <a:avLst/>
                        </a:prstGeom>
                        <a:solidFill>
                          <a:srgbClr val="FFFFFF"/>
                        </a:solidFill>
                        <a:ln w="9525">
                          <a:solidFill>
                            <a:srgbClr val="000000"/>
                          </a:solidFill>
                          <a:miter lim="800000"/>
                          <a:headEnd/>
                          <a:tailEnd/>
                        </a:ln>
                      </wps:spPr>
                      <wps:txbx>
                        <w:txbxContent>
                          <w:p w14:paraId="5D2E4185" w14:textId="77777777" w:rsidR="00044B66" w:rsidRPr="00041D7B" w:rsidRDefault="00044B66" w:rsidP="00044B66">
                            <w:pPr>
                              <w:rPr>
                                <w:b/>
                                <w:bCs/>
                              </w:rPr>
                            </w:pPr>
                            <w:r w:rsidRPr="00041D7B">
                              <w:rPr>
                                <w:b/>
                                <w:bCs/>
                              </w:rPr>
                              <w:t>Responsibilities of primary care clinician:</w:t>
                            </w:r>
                          </w:p>
                          <w:p w14:paraId="5294672D" w14:textId="77777777" w:rsidR="00044B66" w:rsidRPr="00041D7B" w:rsidRDefault="00044B66" w:rsidP="00241293">
                            <w:pPr>
                              <w:pStyle w:val="ListParagraph"/>
                              <w:widowControl w:val="0"/>
                              <w:numPr>
                                <w:ilvl w:val="0"/>
                                <w:numId w:val="22"/>
                              </w:numPr>
                              <w:autoSpaceDE w:val="0"/>
                              <w:autoSpaceDN w:val="0"/>
                              <w:contextualSpacing w:val="0"/>
                            </w:pPr>
                            <w:r w:rsidRPr="00041D7B">
                              <w:t xml:space="preserve">Prescribe </w:t>
                            </w:r>
                            <w:proofErr w:type="spellStart"/>
                            <w:r w:rsidRPr="00041D7B">
                              <w:t>ibandronic</w:t>
                            </w:r>
                            <w:proofErr w:type="spellEnd"/>
                            <w:r w:rsidRPr="00041D7B">
                              <w:t xml:space="preserve"> acid 50mg tablets (one daily) as per specialist letter for 3 years in total</w:t>
                            </w:r>
                          </w:p>
                          <w:p w14:paraId="22471DB7" w14:textId="77777777" w:rsidR="00044B66" w:rsidRPr="00041D7B" w:rsidRDefault="00044B66" w:rsidP="00241293">
                            <w:pPr>
                              <w:pStyle w:val="ListParagraph"/>
                              <w:widowControl w:val="0"/>
                              <w:numPr>
                                <w:ilvl w:val="0"/>
                                <w:numId w:val="22"/>
                              </w:numPr>
                              <w:autoSpaceDE w:val="0"/>
                              <w:autoSpaceDN w:val="0"/>
                              <w:contextualSpacing w:val="0"/>
                            </w:pPr>
                            <w:r w:rsidRPr="00041D7B">
                              <w:t xml:space="preserve">Ensure any other bisphosphonate </w:t>
                            </w:r>
                            <w:proofErr w:type="gramStart"/>
                            <w:r w:rsidRPr="00041D7B">
                              <w:t>e.g.</w:t>
                            </w:r>
                            <w:proofErr w:type="gramEnd"/>
                            <w:r w:rsidRPr="00041D7B">
                              <w:t xml:space="preserve"> weekly alendronate or risedronate is stopped whilst patient is taking </w:t>
                            </w:r>
                            <w:proofErr w:type="spellStart"/>
                            <w:r w:rsidRPr="00041D7B">
                              <w:t>ibandronic</w:t>
                            </w:r>
                            <w:proofErr w:type="spellEnd"/>
                            <w:r w:rsidRPr="00041D7B">
                              <w:t xml:space="preserve"> acid or having IV zoledronic acid.</w:t>
                            </w:r>
                          </w:p>
                          <w:p w14:paraId="1D4BAC55" w14:textId="77777777" w:rsidR="00044B66" w:rsidRDefault="00044B66" w:rsidP="00241293">
                            <w:pPr>
                              <w:pStyle w:val="ListParagraph"/>
                              <w:widowControl w:val="0"/>
                              <w:numPr>
                                <w:ilvl w:val="0"/>
                                <w:numId w:val="22"/>
                              </w:numPr>
                              <w:autoSpaceDE w:val="0"/>
                              <w:autoSpaceDN w:val="0"/>
                              <w:contextualSpacing w:val="0"/>
                            </w:pPr>
                            <w:r w:rsidRPr="00041D7B">
                              <w:t>Review current NSAID use (increased risk of GI side effects).</w:t>
                            </w:r>
                          </w:p>
                          <w:p w14:paraId="7B1EEADA" w14:textId="77777777" w:rsidR="00044B66" w:rsidRPr="00041D7B" w:rsidRDefault="00044B66" w:rsidP="00241293">
                            <w:pPr>
                              <w:pStyle w:val="ListParagraph"/>
                              <w:widowControl w:val="0"/>
                              <w:numPr>
                                <w:ilvl w:val="0"/>
                                <w:numId w:val="22"/>
                              </w:numPr>
                              <w:autoSpaceDE w:val="0"/>
                              <w:autoSpaceDN w:val="0"/>
                              <w:contextualSpacing w:val="0"/>
                            </w:pPr>
                            <w:r w:rsidRPr="00155D5A">
                              <w:t>LFT’s U&amp;E’s, creatinine, serum calcium, phosphate and magnesium, creatinine clearance every 3 months</w:t>
                            </w:r>
                          </w:p>
                          <w:p w14:paraId="6C24B351" w14:textId="77777777" w:rsidR="00044B66" w:rsidRPr="00041D7B" w:rsidRDefault="00044B66" w:rsidP="00241293">
                            <w:pPr>
                              <w:pStyle w:val="ListParagraph"/>
                              <w:widowControl w:val="0"/>
                              <w:numPr>
                                <w:ilvl w:val="0"/>
                                <w:numId w:val="22"/>
                              </w:numPr>
                              <w:autoSpaceDE w:val="0"/>
                              <w:autoSpaceDN w:val="0"/>
                              <w:contextualSpacing w:val="0"/>
                              <w:rPr>
                                <w:bCs/>
                              </w:rPr>
                            </w:pPr>
                            <w:r w:rsidRPr="00041D7B">
                              <w:rPr>
                                <w:b/>
                                <w:bCs/>
                              </w:rPr>
                              <w:t>Annual review by GP to include</w:t>
                            </w:r>
                            <w:r w:rsidRPr="00041D7B">
                              <w:rPr>
                                <w:bCs/>
                              </w:rPr>
                              <w:t>:</w:t>
                            </w:r>
                          </w:p>
                          <w:p w14:paraId="570009A9" w14:textId="77777777" w:rsidR="00044B66" w:rsidRDefault="00044B66" w:rsidP="00044B66">
                            <w:pPr>
                              <w:ind w:left="1276"/>
                            </w:pPr>
                            <w:r w:rsidRPr="00041D7B">
                              <w:t xml:space="preserve">Medication review to check compliance; potential side effects; tolerability of </w:t>
                            </w:r>
                            <w:proofErr w:type="spellStart"/>
                            <w:r w:rsidRPr="00041D7B">
                              <w:t>ibandronic</w:t>
                            </w:r>
                            <w:proofErr w:type="spellEnd"/>
                            <w:r w:rsidRPr="00041D7B">
                              <w:t xml:space="preserve"> acid; ensure patient and/or </w:t>
                            </w:r>
                            <w:proofErr w:type="spellStart"/>
                            <w:r w:rsidRPr="00041D7B">
                              <w:t>carer</w:t>
                            </w:r>
                            <w:proofErr w:type="spellEnd"/>
                            <w:r w:rsidRPr="00041D7B">
                              <w:t xml:space="preserve"> understands how to administer tablets; check oral hygiene advice is being followed.</w:t>
                            </w:r>
                          </w:p>
                          <w:p w14:paraId="377F6D24" w14:textId="77777777" w:rsidR="00044B66" w:rsidRDefault="00044B66" w:rsidP="00044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02EF" id="_x0000_s1033" type="#_x0000_t202" style="position:absolute;left:0;text-align:left;margin-left:-25.5pt;margin-top:228.35pt;width:543.25pt;height:1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">
                <v:textbox>
                  <w:txbxContent>
                    <w:p w14:paraId="5D2E4185" w14:textId="77777777" w:rsidR="00044B66" w:rsidRPr="00041D7B" w:rsidRDefault="00044B66" w:rsidP="00044B66">
                      <w:pPr>
                        <w:rPr>
                          <w:b/>
                          <w:bCs/>
                        </w:rPr>
                      </w:pPr>
                      <w:r w:rsidRPr="00041D7B">
                        <w:rPr>
                          <w:b/>
                          <w:bCs/>
                        </w:rPr>
                        <w:t>Responsibilities of primary care clinician:</w:t>
                      </w:r>
                    </w:p>
                    <w:p w14:paraId="5294672D" w14:textId="77777777" w:rsidR="00044B66" w:rsidRPr="00041D7B" w:rsidRDefault="00044B66" w:rsidP="00241293">
                      <w:pPr>
                        <w:pStyle w:val="ListParagraph"/>
                        <w:widowControl w:val="0"/>
                        <w:numPr>
                          <w:ilvl w:val="0"/>
                          <w:numId w:val="22"/>
                        </w:numPr>
                        <w:autoSpaceDE w:val="0"/>
                        <w:autoSpaceDN w:val="0"/>
                        <w:contextualSpacing w:val="0"/>
                      </w:pPr>
                      <w:r w:rsidRPr="00041D7B">
                        <w:t xml:space="preserve">Prescribe </w:t>
                      </w:r>
                      <w:proofErr w:type="spellStart"/>
                      <w:r w:rsidRPr="00041D7B">
                        <w:t>ibandronic</w:t>
                      </w:r>
                      <w:proofErr w:type="spellEnd"/>
                      <w:r w:rsidRPr="00041D7B">
                        <w:t xml:space="preserve"> acid 50mg tablets (one daily) as per specialist letter for 3 years in total</w:t>
                      </w:r>
                    </w:p>
                    <w:p w14:paraId="22471DB7" w14:textId="77777777" w:rsidR="00044B66" w:rsidRPr="00041D7B" w:rsidRDefault="00044B66" w:rsidP="00241293">
                      <w:pPr>
                        <w:pStyle w:val="ListParagraph"/>
                        <w:widowControl w:val="0"/>
                        <w:numPr>
                          <w:ilvl w:val="0"/>
                          <w:numId w:val="22"/>
                        </w:numPr>
                        <w:autoSpaceDE w:val="0"/>
                        <w:autoSpaceDN w:val="0"/>
                        <w:contextualSpacing w:val="0"/>
                      </w:pPr>
                      <w:r w:rsidRPr="00041D7B">
                        <w:t xml:space="preserve">Ensure any other bisphosphonate </w:t>
                      </w:r>
                      <w:proofErr w:type="gramStart"/>
                      <w:r w:rsidRPr="00041D7B">
                        <w:t>e.g.</w:t>
                      </w:r>
                      <w:proofErr w:type="gramEnd"/>
                      <w:r w:rsidRPr="00041D7B">
                        <w:t xml:space="preserve"> weekly alendronate or risedronate is stopped whilst patient is taking </w:t>
                      </w:r>
                      <w:proofErr w:type="spellStart"/>
                      <w:r w:rsidRPr="00041D7B">
                        <w:t>ibandronic</w:t>
                      </w:r>
                      <w:proofErr w:type="spellEnd"/>
                      <w:r w:rsidRPr="00041D7B">
                        <w:t xml:space="preserve"> acid or having IV zoledronic acid.</w:t>
                      </w:r>
                    </w:p>
                    <w:p w14:paraId="1D4BAC55" w14:textId="77777777" w:rsidR="00044B66" w:rsidRDefault="00044B66" w:rsidP="00241293">
                      <w:pPr>
                        <w:pStyle w:val="ListParagraph"/>
                        <w:widowControl w:val="0"/>
                        <w:numPr>
                          <w:ilvl w:val="0"/>
                          <w:numId w:val="22"/>
                        </w:numPr>
                        <w:autoSpaceDE w:val="0"/>
                        <w:autoSpaceDN w:val="0"/>
                        <w:contextualSpacing w:val="0"/>
                      </w:pPr>
                      <w:r w:rsidRPr="00041D7B">
                        <w:t>Review current NSAID use (increased risk of GI side effects).</w:t>
                      </w:r>
                    </w:p>
                    <w:p w14:paraId="7B1EEADA" w14:textId="77777777" w:rsidR="00044B66" w:rsidRPr="00041D7B" w:rsidRDefault="00044B66" w:rsidP="00241293">
                      <w:pPr>
                        <w:pStyle w:val="ListParagraph"/>
                        <w:widowControl w:val="0"/>
                        <w:numPr>
                          <w:ilvl w:val="0"/>
                          <w:numId w:val="22"/>
                        </w:numPr>
                        <w:autoSpaceDE w:val="0"/>
                        <w:autoSpaceDN w:val="0"/>
                        <w:contextualSpacing w:val="0"/>
                      </w:pPr>
                      <w:r w:rsidRPr="00155D5A">
                        <w:t>LFT’s U&amp;E’s, creatinine, serum calcium, phosphate and magnesium, creatinine clearance every 3 months</w:t>
                      </w:r>
                    </w:p>
                    <w:p w14:paraId="6C24B351" w14:textId="77777777" w:rsidR="00044B66" w:rsidRPr="00041D7B" w:rsidRDefault="00044B66" w:rsidP="00241293">
                      <w:pPr>
                        <w:pStyle w:val="ListParagraph"/>
                        <w:widowControl w:val="0"/>
                        <w:numPr>
                          <w:ilvl w:val="0"/>
                          <w:numId w:val="22"/>
                        </w:numPr>
                        <w:autoSpaceDE w:val="0"/>
                        <w:autoSpaceDN w:val="0"/>
                        <w:contextualSpacing w:val="0"/>
                        <w:rPr>
                          <w:bCs/>
                        </w:rPr>
                      </w:pPr>
                      <w:r w:rsidRPr="00041D7B">
                        <w:rPr>
                          <w:b/>
                          <w:bCs/>
                        </w:rPr>
                        <w:t>Annual review by GP to include</w:t>
                      </w:r>
                      <w:r w:rsidRPr="00041D7B">
                        <w:rPr>
                          <w:bCs/>
                        </w:rPr>
                        <w:t>:</w:t>
                      </w:r>
                    </w:p>
                    <w:p w14:paraId="570009A9" w14:textId="77777777" w:rsidR="00044B66" w:rsidRDefault="00044B66" w:rsidP="00044B66">
                      <w:pPr>
                        <w:ind w:left="1276"/>
                      </w:pPr>
                      <w:r w:rsidRPr="00041D7B">
                        <w:t xml:space="preserve">Medication review to check compliance; potential side effects; tolerability of </w:t>
                      </w:r>
                      <w:proofErr w:type="spellStart"/>
                      <w:r w:rsidRPr="00041D7B">
                        <w:t>ibandronic</w:t>
                      </w:r>
                      <w:proofErr w:type="spellEnd"/>
                      <w:r w:rsidRPr="00041D7B">
                        <w:t xml:space="preserve"> acid; ensure patient and/or </w:t>
                      </w:r>
                      <w:proofErr w:type="spellStart"/>
                      <w:r w:rsidRPr="00041D7B">
                        <w:t>carer</w:t>
                      </w:r>
                      <w:proofErr w:type="spellEnd"/>
                      <w:r w:rsidRPr="00041D7B">
                        <w:t xml:space="preserve"> understands how to administer tablets; check oral hygiene advice is being followed.</w:t>
                      </w:r>
                    </w:p>
                    <w:p w14:paraId="377F6D24" w14:textId="77777777" w:rsidR="00044B66" w:rsidRDefault="00044B66" w:rsidP="00044B66"/>
                  </w:txbxContent>
                </v:textbox>
              </v:shape>
            </w:pict>
          </mc:Fallback>
        </mc:AlternateContent>
      </w:r>
      <w:r w:rsidRPr="002B7C3D">
        <w:rPr>
          <w:rFonts w:ascii="Arial" w:eastAsia="Arial" w:hAnsi="Arial" w:cs="Arial"/>
          <w:noProof/>
          <w:lang w:eastAsia="en-GB"/>
        </w:rPr>
        <mc:AlternateContent>
          <mc:Choice Requires="wps">
            <w:drawing>
              <wp:anchor distT="0" distB="0" distL="114300" distR="114300" simplePos="0" relativeHeight="251668480" behindDoc="0" locked="0" layoutInCell="1" allowOverlap="1" wp14:anchorId="46123EFC" wp14:editId="45072B07">
                <wp:simplePos x="0" y="0"/>
                <wp:positionH relativeFrom="column">
                  <wp:posOffset>-323850</wp:posOffset>
                </wp:positionH>
                <wp:positionV relativeFrom="paragraph">
                  <wp:posOffset>5472430</wp:posOffset>
                </wp:positionV>
                <wp:extent cx="6899275" cy="657225"/>
                <wp:effectExtent l="0" t="0" r="15875" b="28575"/>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657225"/>
                        </a:xfrm>
                        <a:prstGeom prst="rect">
                          <a:avLst/>
                        </a:prstGeom>
                        <a:solidFill>
                          <a:srgbClr val="FFFFFF"/>
                        </a:solidFill>
                        <a:ln w="9525">
                          <a:solidFill>
                            <a:srgbClr val="000000"/>
                          </a:solidFill>
                          <a:miter lim="800000"/>
                          <a:headEnd/>
                          <a:tailEnd/>
                        </a:ln>
                      </wps:spPr>
                      <wps:txbx>
                        <w:txbxContent>
                          <w:p w14:paraId="1C4B696C" w14:textId="77777777" w:rsidR="00044B66" w:rsidRDefault="00044B66" w:rsidP="00044B66">
                            <w:proofErr w:type="spellStart"/>
                            <w:r>
                              <w:t>I</w:t>
                            </w:r>
                            <w:r w:rsidRPr="00041D7B">
                              <w:t>bandronic</w:t>
                            </w:r>
                            <w:proofErr w:type="spellEnd"/>
                            <w:r w:rsidRPr="00041D7B">
                              <w:t xml:space="preserve"> acid not </w:t>
                            </w:r>
                            <w:proofErr w:type="gramStart"/>
                            <w:r w:rsidRPr="00041D7B">
                              <w:t>tolerated</w:t>
                            </w:r>
                            <w:proofErr w:type="gramEnd"/>
                            <w:r w:rsidRPr="00041D7B">
                              <w:t xml:space="preserve"> or patient is unable to comply with dosing instructions</w:t>
                            </w:r>
                            <w:r>
                              <w:t>:</w:t>
                            </w:r>
                          </w:p>
                          <w:p w14:paraId="141808FD" w14:textId="77777777" w:rsidR="00044B66" w:rsidRPr="00041D7B" w:rsidRDefault="00044B66" w:rsidP="00044B66">
                            <w:proofErr w:type="gramStart"/>
                            <w:r>
                              <w:rPr>
                                <w:b/>
                              </w:rPr>
                              <w:t>R</w:t>
                            </w:r>
                            <w:r w:rsidRPr="00041D7B">
                              <w:rPr>
                                <w:b/>
                              </w:rPr>
                              <w:t>efer back</w:t>
                            </w:r>
                            <w:proofErr w:type="gramEnd"/>
                            <w:r w:rsidRPr="00041D7B">
                              <w:rPr>
                                <w:b/>
                              </w:rPr>
                              <w:t xml:space="preserve"> to specialist </w:t>
                            </w:r>
                            <w:r w:rsidRPr="00041D7B">
                              <w:t>(zoledronic acid IV 6 monthly will be offered as alternative to make up 3 years).</w:t>
                            </w:r>
                          </w:p>
                          <w:p w14:paraId="791D8096" w14:textId="77777777" w:rsidR="00044B66" w:rsidRPr="00041D7B" w:rsidRDefault="00044B66" w:rsidP="00044B66">
                            <w:r w:rsidRPr="00041D7B">
                              <w:t xml:space="preserve">Inform consultant if </w:t>
                            </w:r>
                            <w:proofErr w:type="spellStart"/>
                            <w:r w:rsidRPr="00041D7B">
                              <w:t>ibandronic</w:t>
                            </w:r>
                            <w:proofErr w:type="spellEnd"/>
                            <w:r w:rsidRPr="00041D7B">
                              <w:t xml:space="preserve"> acid is discontinued for any reason.</w:t>
                            </w:r>
                          </w:p>
                          <w:p w14:paraId="7BDB00E9" w14:textId="77777777" w:rsidR="00044B66" w:rsidRDefault="00044B66" w:rsidP="00044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23EFC" id="_x0000_s1034" type="#_x0000_t202" style="position:absolute;left:0;text-align:left;margin-left:-25.5pt;margin-top:430.9pt;width:543.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">
                <v:textbox>
                  <w:txbxContent>
                    <w:p w14:paraId="1C4B696C" w14:textId="77777777" w:rsidR="00044B66" w:rsidRDefault="00044B66" w:rsidP="00044B66">
                      <w:proofErr w:type="spellStart"/>
                      <w:r>
                        <w:t>I</w:t>
                      </w:r>
                      <w:r w:rsidRPr="00041D7B">
                        <w:t>bandronic</w:t>
                      </w:r>
                      <w:proofErr w:type="spellEnd"/>
                      <w:r w:rsidRPr="00041D7B">
                        <w:t xml:space="preserve"> acid not </w:t>
                      </w:r>
                      <w:proofErr w:type="gramStart"/>
                      <w:r w:rsidRPr="00041D7B">
                        <w:t>tolerated</w:t>
                      </w:r>
                      <w:proofErr w:type="gramEnd"/>
                      <w:r w:rsidRPr="00041D7B">
                        <w:t xml:space="preserve"> or patient is unable to comply with dosing instructions</w:t>
                      </w:r>
                      <w:r>
                        <w:t>:</w:t>
                      </w:r>
                    </w:p>
                    <w:p w14:paraId="141808FD" w14:textId="77777777" w:rsidR="00044B66" w:rsidRPr="00041D7B" w:rsidRDefault="00044B66" w:rsidP="00044B66">
                      <w:proofErr w:type="gramStart"/>
                      <w:r>
                        <w:rPr>
                          <w:b/>
                        </w:rPr>
                        <w:t>R</w:t>
                      </w:r>
                      <w:r w:rsidRPr="00041D7B">
                        <w:rPr>
                          <w:b/>
                        </w:rPr>
                        <w:t>efer back</w:t>
                      </w:r>
                      <w:proofErr w:type="gramEnd"/>
                      <w:r w:rsidRPr="00041D7B">
                        <w:rPr>
                          <w:b/>
                        </w:rPr>
                        <w:t xml:space="preserve"> to specialist </w:t>
                      </w:r>
                      <w:r w:rsidRPr="00041D7B">
                        <w:t>(zoledronic acid IV 6 monthly will be offered as alternative to make up 3 years).</w:t>
                      </w:r>
                    </w:p>
                    <w:p w14:paraId="791D8096" w14:textId="77777777" w:rsidR="00044B66" w:rsidRPr="00041D7B" w:rsidRDefault="00044B66" w:rsidP="00044B66">
                      <w:r w:rsidRPr="00041D7B">
                        <w:t xml:space="preserve">Inform consultant if </w:t>
                      </w:r>
                      <w:proofErr w:type="spellStart"/>
                      <w:r w:rsidRPr="00041D7B">
                        <w:t>ibandronic</w:t>
                      </w:r>
                      <w:proofErr w:type="spellEnd"/>
                      <w:r w:rsidRPr="00041D7B">
                        <w:t xml:space="preserve"> acid is discontinued for any reason.</w:t>
                      </w:r>
                    </w:p>
                    <w:p w14:paraId="7BDB00E9" w14:textId="77777777" w:rsidR="00044B66" w:rsidRDefault="00044B66" w:rsidP="00044B66"/>
                  </w:txbxContent>
                </v:textbox>
              </v:shape>
            </w:pict>
          </mc:Fallback>
        </mc:AlternateContent>
      </w:r>
      <w:r w:rsidRPr="002B7C3D">
        <w:rPr>
          <w:rFonts w:ascii="Arial" w:eastAsia="Arial" w:hAnsi="Arial" w:cs="Arial"/>
          <w:b/>
          <w:noProof/>
          <w:sz w:val="31"/>
          <w:lang w:eastAsia="en-GB"/>
        </w:rPr>
        <mc:AlternateContent>
          <mc:Choice Requires="wps">
            <w:drawing>
              <wp:anchor distT="0" distB="0" distL="114300" distR="114300" simplePos="0" relativeHeight="251673600" behindDoc="0" locked="0" layoutInCell="1" allowOverlap="1" wp14:anchorId="3F0A9172" wp14:editId="137A9D74">
                <wp:simplePos x="0" y="0"/>
                <wp:positionH relativeFrom="column">
                  <wp:posOffset>2981325</wp:posOffset>
                </wp:positionH>
                <wp:positionV relativeFrom="paragraph">
                  <wp:posOffset>2533650</wp:posOffset>
                </wp:positionV>
                <wp:extent cx="0" cy="363220"/>
                <wp:effectExtent l="133350" t="0" r="76200" b="55880"/>
                <wp:wrapNone/>
                <wp:docPr id="93" name="Straight Arrow Connector 93"/>
                <wp:cNvGraphicFramePr/>
                <a:graphic xmlns:a="http://schemas.openxmlformats.org/drawingml/2006/main">
                  <a:graphicData uri="http://schemas.microsoft.com/office/word/2010/wordprocessingShape">
                    <wps:wsp>
                      <wps:cNvCnPr/>
                      <wps:spPr>
                        <a:xfrm>
                          <a:off x="0" y="0"/>
                          <a:ext cx="0" cy="363220"/>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0E4E6E5" id="Straight Arrow Connector 93" o:spid="_x0000_s1026" type="#_x0000_t32" style="position:absolute;margin-left:234.75pt;margin-top:199.5pt;width:0;height:28.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" strokecolor="windowText" strokeweight="3pt">
                <v:stroke endarrow="open"/>
              </v:shape>
            </w:pict>
          </mc:Fallback>
        </mc:AlternateContent>
      </w:r>
      <w:r w:rsidRPr="002B7C3D">
        <w:rPr>
          <w:rFonts w:ascii="Arial" w:eastAsia="Arial" w:hAnsi="Arial" w:cs="Arial"/>
          <w:noProof/>
          <w:sz w:val="11"/>
          <w:lang w:eastAsia="en-GB"/>
        </w:rPr>
        <mc:AlternateContent>
          <mc:Choice Requires="wps">
            <w:drawing>
              <wp:anchor distT="0" distB="0" distL="114300" distR="114300" simplePos="0" relativeHeight="251661312" behindDoc="1" locked="0" layoutInCell="1" allowOverlap="1" wp14:anchorId="61F73937" wp14:editId="645AD728">
                <wp:simplePos x="0" y="0"/>
                <wp:positionH relativeFrom="column">
                  <wp:posOffset>132863</wp:posOffset>
                </wp:positionH>
                <wp:positionV relativeFrom="paragraph">
                  <wp:posOffset>221673</wp:posOffset>
                </wp:positionV>
                <wp:extent cx="635" cy="0"/>
                <wp:effectExtent l="19050" t="19050" r="18415" b="19050"/>
                <wp:wrapNone/>
                <wp:docPr id="56" name="Line 50"/>
                <wp:cNvGraphicFramePr/>
                <a:graphic xmlns:a="http://schemas.openxmlformats.org/drawingml/2006/main">
                  <a:graphicData uri="http://schemas.microsoft.com/office/word/2010/wordprocessingShape">
                    <wps:wsp>
                      <wps:cNvCnPr/>
                      <wps:spPr bwMode="auto">
                        <a:xfrm>
                          <a:off x="0" y="0"/>
                          <a:ext cx="63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1136DB" id="Line 5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0.45pt,17.45pt" to="1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" strokeweight="2.25pt"/>
            </w:pict>
          </mc:Fallback>
        </mc:AlternateContent>
      </w:r>
      <w:r w:rsidRPr="002B7C3D">
        <w:rPr>
          <w:rFonts w:ascii="Arial" w:eastAsia="Arial" w:hAnsi="Arial" w:cs="Arial"/>
          <w:noProof/>
          <w:sz w:val="11"/>
          <w:lang w:eastAsia="en-GB"/>
        </w:rPr>
        <mc:AlternateContent>
          <mc:Choice Requires="wps">
            <w:drawing>
              <wp:anchor distT="0" distB="0" distL="114300" distR="114300" simplePos="0" relativeHeight="251662336" behindDoc="1" locked="0" layoutInCell="1" allowOverlap="1" wp14:anchorId="0BFD141E" wp14:editId="06F97CAC">
                <wp:simplePos x="0" y="0"/>
                <wp:positionH relativeFrom="column">
                  <wp:posOffset>887243</wp:posOffset>
                </wp:positionH>
                <wp:positionV relativeFrom="paragraph">
                  <wp:posOffset>370263</wp:posOffset>
                </wp:positionV>
                <wp:extent cx="0" cy="0"/>
                <wp:effectExtent l="0" t="0" r="0" b="0"/>
                <wp:wrapNone/>
                <wp:docPr id="58" name="Line 48"/>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CC9543" id="Line 4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9.85pt,29.15pt" to="69.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"/>
            </w:pict>
          </mc:Fallback>
        </mc:AlternateContent>
      </w:r>
      <w:r w:rsidRPr="002B7C3D">
        <w:rPr>
          <w:rFonts w:ascii="Arial" w:eastAsia="Arial" w:hAnsi="Arial" w:cs="Arial"/>
          <w:noProof/>
          <w:sz w:val="11"/>
          <w:lang w:eastAsia="en-GB"/>
        </w:rPr>
        <mc:AlternateContent>
          <mc:Choice Requires="wps">
            <w:drawing>
              <wp:anchor distT="0" distB="0" distL="114300" distR="114300" simplePos="0" relativeHeight="251663360" behindDoc="1" locked="0" layoutInCell="1" allowOverlap="1" wp14:anchorId="2C3087AF" wp14:editId="5CD21D10">
                <wp:simplePos x="0" y="0"/>
                <wp:positionH relativeFrom="column">
                  <wp:posOffset>462428</wp:posOffset>
                </wp:positionH>
                <wp:positionV relativeFrom="paragraph">
                  <wp:posOffset>221673</wp:posOffset>
                </wp:positionV>
                <wp:extent cx="0" cy="635"/>
                <wp:effectExtent l="19050" t="19050" r="19050" b="18415"/>
                <wp:wrapNone/>
                <wp:docPr id="62" name="Line 44"/>
                <wp:cNvGraphicFramePr/>
                <a:graphic xmlns:a="http://schemas.openxmlformats.org/drawingml/2006/main">
                  <a:graphicData uri="http://schemas.microsoft.com/office/word/2010/wordprocessingShape">
                    <wps:wsp>
                      <wps:cNvCnPr/>
                      <wps:spPr bwMode="auto">
                        <a:xfrm>
                          <a:off x="0" y="0"/>
                          <a:ext cx="0" cy="63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AD5AF4" id="Line 4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6.4pt,17.45pt" to="3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" strokeweight="2.25pt"/>
            </w:pict>
          </mc:Fallback>
        </mc:AlternateContent>
      </w:r>
    </w:p>
    <w:p w14:paraId="7CC337A1" w14:textId="77777777" w:rsidR="00044B66" w:rsidRDefault="00044B66" w:rsidP="00044B66">
      <w:pPr>
        <w:spacing w:after="200" w:line="276" w:lineRule="auto"/>
        <w:rPr>
          <w:rFonts w:ascii="Arial" w:hAnsi="Arial" w:cs="Arial"/>
        </w:rPr>
      </w:pPr>
    </w:p>
    <w:p w14:paraId="61426A3E" w14:textId="4BF2B81F" w:rsidR="00044B66" w:rsidRDefault="00044B66" w:rsidP="00044B66">
      <w:pPr>
        <w:rPr>
          <w:rFonts w:ascii="Arial" w:hAnsi="Arial" w:cs="Arial"/>
        </w:rPr>
      </w:pPr>
    </w:p>
    <w:p w14:paraId="398E50CF" w14:textId="23BEDCFC" w:rsidR="00044B66" w:rsidRDefault="00044B66" w:rsidP="00044B66">
      <w:pPr>
        <w:rPr>
          <w:rFonts w:ascii="Arial" w:hAnsi="Arial" w:cs="Arial"/>
        </w:rPr>
      </w:pPr>
    </w:p>
    <w:p w14:paraId="6C306378" w14:textId="77777777" w:rsidR="00044B66" w:rsidRPr="00044B66" w:rsidRDefault="00044B66" w:rsidP="00044B66">
      <w:pPr>
        <w:rPr>
          <w:rFonts w:ascii="Arial" w:hAnsi="Arial" w:cs="Arial"/>
        </w:rPr>
      </w:pPr>
    </w:p>
    <w:sectPr w:rsidR="00044B66" w:rsidRPr="00044B66" w:rsidSect="00EA53C2">
      <w:headerReference w:type="default" r:id="rId21"/>
      <w:footerReference w:type="default" r:id="rId22"/>
      <w:headerReference w:type="first" r:id="rId23"/>
      <w:footerReference w:type="first" r:id="rId2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2DFA" w14:textId="77777777" w:rsidR="00A513E9" w:rsidRDefault="00A513E9" w:rsidP="007A35A7">
      <w:r>
        <w:separator/>
      </w:r>
    </w:p>
  </w:endnote>
  <w:endnote w:type="continuationSeparator" w:id="0">
    <w:p w14:paraId="7AE7CF8D" w14:textId="77777777" w:rsidR="00A513E9" w:rsidRDefault="00A513E9"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BA6E" w14:textId="77777777" w:rsidR="00A513E9" w:rsidRDefault="00A513E9" w:rsidP="007A35A7">
      <w:r>
        <w:separator/>
      </w:r>
    </w:p>
  </w:footnote>
  <w:footnote w:type="continuationSeparator" w:id="0">
    <w:p w14:paraId="13E70B90" w14:textId="77777777" w:rsidR="00A513E9" w:rsidRDefault="00A513E9"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2C3"/>
    <w:multiLevelType w:val="hybridMultilevel"/>
    <w:tmpl w:val="A5424448"/>
    <w:lvl w:ilvl="0" w:tplc="D3F4E3A8">
      <w:numFmt w:val="bullet"/>
      <w:lvlText w:val="-"/>
      <w:lvlJc w:val="left"/>
      <w:pPr>
        <w:ind w:left="1442" w:hanging="358"/>
      </w:pPr>
      <w:rPr>
        <w:rFonts w:ascii="Arial" w:eastAsia="Arial" w:hAnsi="Arial" w:cs="Arial" w:hint="default"/>
        <w:w w:val="100"/>
        <w:sz w:val="22"/>
        <w:szCs w:val="22"/>
        <w:lang w:val="en-GB" w:eastAsia="en-GB" w:bidi="en-GB"/>
      </w:rPr>
    </w:lvl>
    <w:lvl w:ilvl="1" w:tplc="2E50079C">
      <w:numFmt w:val="bullet"/>
      <w:lvlText w:val="•"/>
      <w:lvlJc w:val="left"/>
      <w:pPr>
        <w:ind w:left="2430" w:hanging="358"/>
      </w:pPr>
      <w:rPr>
        <w:rFonts w:hint="default"/>
        <w:lang w:val="en-GB" w:eastAsia="en-GB" w:bidi="en-GB"/>
      </w:rPr>
    </w:lvl>
    <w:lvl w:ilvl="2" w:tplc="4E2A3062">
      <w:numFmt w:val="bullet"/>
      <w:lvlText w:val="•"/>
      <w:lvlJc w:val="left"/>
      <w:pPr>
        <w:ind w:left="3420" w:hanging="358"/>
      </w:pPr>
      <w:rPr>
        <w:rFonts w:hint="default"/>
        <w:lang w:val="en-GB" w:eastAsia="en-GB" w:bidi="en-GB"/>
      </w:rPr>
    </w:lvl>
    <w:lvl w:ilvl="3" w:tplc="99328C9C">
      <w:numFmt w:val="bullet"/>
      <w:lvlText w:val="•"/>
      <w:lvlJc w:val="left"/>
      <w:pPr>
        <w:ind w:left="4410" w:hanging="358"/>
      </w:pPr>
      <w:rPr>
        <w:rFonts w:hint="default"/>
        <w:lang w:val="en-GB" w:eastAsia="en-GB" w:bidi="en-GB"/>
      </w:rPr>
    </w:lvl>
    <w:lvl w:ilvl="4" w:tplc="DA48A1DA">
      <w:numFmt w:val="bullet"/>
      <w:lvlText w:val="•"/>
      <w:lvlJc w:val="left"/>
      <w:pPr>
        <w:ind w:left="5400" w:hanging="358"/>
      </w:pPr>
      <w:rPr>
        <w:rFonts w:hint="default"/>
        <w:lang w:val="en-GB" w:eastAsia="en-GB" w:bidi="en-GB"/>
      </w:rPr>
    </w:lvl>
    <w:lvl w:ilvl="5" w:tplc="BF6060A4">
      <w:numFmt w:val="bullet"/>
      <w:lvlText w:val="•"/>
      <w:lvlJc w:val="left"/>
      <w:pPr>
        <w:ind w:left="6390" w:hanging="358"/>
      </w:pPr>
      <w:rPr>
        <w:rFonts w:hint="default"/>
        <w:lang w:val="en-GB" w:eastAsia="en-GB" w:bidi="en-GB"/>
      </w:rPr>
    </w:lvl>
    <w:lvl w:ilvl="6" w:tplc="DA0C9086">
      <w:numFmt w:val="bullet"/>
      <w:lvlText w:val="•"/>
      <w:lvlJc w:val="left"/>
      <w:pPr>
        <w:ind w:left="7380" w:hanging="358"/>
      </w:pPr>
      <w:rPr>
        <w:rFonts w:hint="default"/>
        <w:lang w:val="en-GB" w:eastAsia="en-GB" w:bidi="en-GB"/>
      </w:rPr>
    </w:lvl>
    <w:lvl w:ilvl="7" w:tplc="F35EFC0E">
      <w:numFmt w:val="bullet"/>
      <w:lvlText w:val="•"/>
      <w:lvlJc w:val="left"/>
      <w:pPr>
        <w:ind w:left="8370" w:hanging="358"/>
      </w:pPr>
      <w:rPr>
        <w:rFonts w:hint="default"/>
        <w:lang w:val="en-GB" w:eastAsia="en-GB" w:bidi="en-GB"/>
      </w:rPr>
    </w:lvl>
    <w:lvl w:ilvl="8" w:tplc="36CEFBD4">
      <w:numFmt w:val="bullet"/>
      <w:lvlText w:val="•"/>
      <w:lvlJc w:val="left"/>
      <w:pPr>
        <w:ind w:left="9360" w:hanging="358"/>
      </w:pPr>
      <w:rPr>
        <w:rFonts w:hint="default"/>
        <w:lang w:val="en-GB" w:eastAsia="en-GB" w:bidi="en-GB"/>
      </w:rPr>
    </w:lvl>
  </w:abstractNum>
  <w:abstractNum w:abstractNumId="1" w15:restartNumberingAfterBreak="0">
    <w:nsid w:val="1283609D"/>
    <w:multiLevelType w:val="hybridMultilevel"/>
    <w:tmpl w:val="7C006FD8"/>
    <w:lvl w:ilvl="0" w:tplc="D872224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93CAF"/>
    <w:multiLevelType w:val="hybridMultilevel"/>
    <w:tmpl w:val="CCC8CD5A"/>
    <w:lvl w:ilvl="0" w:tplc="0409000F">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C3105C"/>
    <w:multiLevelType w:val="hybridMultilevel"/>
    <w:tmpl w:val="83EA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F1DBC"/>
    <w:multiLevelType w:val="hybridMultilevel"/>
    <w:tmpl w:val="8C90D886"/>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485106"/>
    <w:multiLevelType w:val="hybridMultilevel"/>
    <w:tmpl w:val="522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11DFB"/>
    <w:multiLevelType w:val="hybridMultilevel"/>
    <w:tmpl w:val="C830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24B3"/>
    <w:multiLevelType w:val="hybridMultilevel"/>
    <w:tmpl w:val="40E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61663"/>
    <w:multiLevelType w:val="hybridMultilevel"/>
    <w:tmpl w:val="286628F2"/>
    <w:lvl w:ilvl="0" w:tplc="08090001">
      <w:start w:val="1"/>
      <w:numFmt w:val="bullet"/>
      <w:lvlText w:val=""/>
      <w:lvlJc w:val="left"/>
      <w:pPr>
        <w:ind w:left="1442" w:hanging="358"/>
      </w:pPr>
      <w:rPr>
        <w:rFonts w:ascii="Symbol" w:hAnsi="Symbol" w:hint="default"/>
        <w:w w:val="100"/>
        <w:sz w:val="22"/>
        <w:szCs w:val="22"/>
        <w:lang w:val="en-GB" w:eastAsia="en-GB" w:bidi="en-GB"/>
      </w:rPr>
    </w:lvl>
    <w:lvl w:ilvl="1" w:tplc="2E50079C">
      <w:numFmt w:val="bullet"/>
      <w:lvlText w:val="•"/>
      <w:lvlJc w:val="left"/>
      <w:pPr>
        <w:ind w:left="2430" w:hanging="358"/>
      </w:pPr>
      <w:rPr>
        <w:rFonts w:hint="default"/>
        <w:lang w:val="en-GB" w:eastAsia="en-GB" w:bidi="en-GB"/>
      </w:rPr>
    </w:lvl>
    <w:lvl w:ilvl="2" w:tplc="4E2A3062">
      <w:numFmt w:val="bullet"/>
      <w:lvlText w:val="•"/>
      <w:lvlJc w:val="left"/>
      <w:pPr>
        <w:ind w:left="3420" w:hanging="358"/>
      </w:pPr>
      <w:rPr>
        <w:rFonts w:hint="default"/>
        <w:lang w:val="en-GB" w:eastAsia="en-GB" w:bidi="en-GB"/>
      </w:rPr>
    </w:lvl>
    <w:lvl w:ilvl="3" w:tplc="99328C9C">
      <w:numFmt w:val="bullet"/>
      <w:lvlText w:val="•"/>
      <w:lvlJc w:val="left"/>
      <w:pPr>
        <w:ind w:left="4410" w:hanging="358"/>
      </w:pPr>
      <w:rPr>
        <w:rFonts w:hint="default"/>
        <w:lang w:val="en-GB" w:eastAsia="en-GB" w:bidi="en-GB"/>
      </w:rPr>
    </w:lvl>
    <w:lvl w:ilvl="4" w:tplc="DA48A1DA">
      <w:numFmt w:val="bullet"/>
      <w:lvlText w:val="•"/>
      <w:lvlJc w:val="left"/>
      <w:pPr>
        <w:ind w:left="5400" w:hanging="358"/>
      </w:pPr>
      <w:rPr>
        <w:rFonts w:hint="default"/>
        <w:lang w:val="en-GB" w:eastAsia="en-GB" w:bidi="en-GB"/>
      </w:rPr>
    </w:lvl>
    <w:lvl w:ilvl="5" w:tplc="BF6060A4">
      <w:numFmt w:val="bullet"/>
      <w:lvlText w:val="•"/>
      <w:lvlJc w:val="left"/>
      <w:pPr>
        <w:ind w:left="6390" w:hanging="358"/>
      </w:pPr>
      <w:rPr>
        <w:rFonts w:hint="default"/>
        <w:lang w:val="en-GB" w:eastAsia="en-GB" w:bidi="en-GB"/>
      </w:rPr>
    </w:lvl>
    <w:lvl w:ilvl="6" w:tplc="DA0C9086">
      <w:numFmt w:val="bullet"/>
      <w:lvlText w:val="•"/>
      <w:lvlJc w:val="left"/>
      <w:pPr>
        <w:ind w:left="7380" w:hanging="358"/>
      </w:pPr>
      <w:rPr>
        <w:rFonts w:hint="default"/>
        <w:lang w:val="en-GB" w:eastAsia="en-GB" w:bidi="en-GB"/>
      </w:rPr>
    </w:lvl>
    <w:lvl w:ilvl="7" w:tplc="F35EFC0E">
      <w:numFmt w:val="bullet"/>
      <w:lvlText w:val="•"/>
      <w:lvlJc w:val="left"/>
      <w:pPr>
        <w:ind w:left="8370" w:hanging="358"/>
      </w:pPr>
      <w:rPr>
        <w:rFonts w:hint="default"/>
        <w:lang w:val="en-GB" w:eastAsia="en-GB" w:bidi="en-GB"/>
      </w:rPr>
    </w:lvl>
    <w:lvl w:ilvl="8" w:tplc="36CEFBD4">
      <w:numFmt w:val="bullet"/>
      <w:lvlText w:val="•"/>
      <w:lvlJc w:val="left"/>
      <w:pPr>
        <w:ind w:left="9360" w:hanging="358"/>
      </w:pPr>
      <w:rPr>
        <w:rFonts w:hint="default"/>
        <w:lang w:val="en-GB" w:eastAsia="en-GB" w:bidi="en-GB"/>
      </w:rPr>
    </w:lvl>
  </w:abstractNum>
  <w:abstractNum w:abstractNumId="9" w15:restartNumberingAfterBreak="0">
    <w:nsid w:val="35163B00"/>
    <w:multiLevelType w:val="hybridMultilevel"/>
    <w:tmpl w:val="598E3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C73BE"/>
    <w:multiLevelType w:val="hybridMultilevel"/>
    <w:tmpl w:val="B0785E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D4351C4"/>
    <w:multiLevelType w:val="hybridMultilevel"/>
    <w:tmpl w:val="4482BEEC"/>
    <w:lvl w:ilvl="0" w:tplc="FCB8E88C">
      <w:start w:val="1"/>
      <w:numFmt w:val="decimal"/>
      <w:lvlText w:val="%1."/>
      <w:lvlJc w:val="left"/>
      <w:pPr>
        <w:ind w:left="1440" w:hanging="360"/>
      </w:pPr>
      <w:rPr>
        <w:rFonts w:ascii="Arial" w:eastAsia="Arial" w:hAnsi="Arial" w:cs="Arial" w:hint="default"/>
        <w:spacing w:val="-1"/>
        <w:w w:val="99"/>
        <w:sz w:val="20"/>
        <w:szCs w:val="20"/>
        <w:lang w:val="en-GB" w:eastAsia="en-GB" w:bidi="en-GB"/>
      </w:rPr>
    </w:lvl>
    <w:lvl w:ilvl="1" w:tplc="D872224E">
      <w:numFmt w:val="bullet"/>
      <w:lvlText w:val="•"/>
      <w:lvlJc w:val="left"/>
      <w:pPr>
        <w:ind w:left="2430" w:hanging="360"/>
      </w:pPr>
      <w:rPr>
        <w:rFonts w:hint="default"/>
        <w:lang w:val="en-GB" w:eastAsia="en-GB" w:bidi="en-GB"/>
      </w:rPr>
    </w:lvl>
    <w:lvl w:ilvl="2" w:tplc="82E030D6">
      <w:numFmt w:val="bullet"/>
      <w:lvlText w:val="•"/>
      <w:lvlJc w:val="left"/>
      <w:pPr>
        <w:ind w:left="3420" w:hanging="360"/>
      </w:pPr>
      <w:rPr>
        <w:rFonts w:hint="default"/>
        <w:lang w:val="en-GB" w:eastAsia="en-GB" w:bidi="en-GB"/>
      </w:rPr>
    </w:lvl>
    <w:lvl w:ilvl="3" w:tplc="129EA422">
      <w:numFmt w:val="bullet"/>
      <w:lvlText w:val="•"/>
      <w:lvlJc w:val="left"/>
      <w:pPr>
        <w:ind w:left="4410" w:hanging="360"/>
      </w:pPr>
      <w:rPr>
        <w:rFonts w:hint="default"/>
        <w:lang w:val="en-GB" w:eastAsia="en-GB" w:bidi="en-GB"/>
      </w:rPr>
    </w:lvl>
    <w:lvl w:ilvl="4" w:tplc="45BEDC6E">
      <w:numFmt w:val="bullet"/>
      <w:lvlText w:val="•"/>
      <w:lvlJc w:val="left"/>
      <w:pPr>
        <w:ind w:left="5400" w:hanging="360"/>
      </w:pPr>
      <w:rPr>
        <w:rFonts w:hint="default"/>
        <w:lang w:val="en-GB" w:eastAsia="en-GB" w:bidi="en-GB"/>
      </w:rPr>
    </w:lvl>
    <w:lvl w:ilvl="5" w:tplc="01EADA9E">
      <w:numFmt w:val="bullet"/>
      <w:lvlText w:val="•"/>
      <w:lvlJc w:val="left"/>
      <w:pPr>
        <w:ind w:left="6390" w:hanging="360"/>
      </w:pPr>
      <w:rPr>
        <w:rFonts w:hint="default"/>
        <w:lang w:val="en-GB" w:eastAsia="en-GB" w:bidi="en-GB"/>
      </w:rPr>
    </w:lvl>
    <w:lvl w:ilvl="6" w:tplc="70DABA9A">
      <w:numFmt w:val="bullet"/>
      <w:lvlText w:val="•"/>
      <w:lvlJc w:val="left"/>
      <w:pPr>
        <w:ind w:left="7380" w:hanging="360"/>
      </w:pPr>
      <w:rPr>
        <w:rFonts w:hint="default"/>
        <w:lang w:val="en-GB" w:eastAsia="en-GB" w:bidi="en-GB"/>
      </w:rPr>
    </w:lvl>
    <w:lvl w:ilvl="7" w:tplc="523ACD54">
      <w:numFmt w:val="bullet"/>
      <w:lvlText w:val="•"/>
      <w:lvlJc w:val="left"/>
      <w:pPr>
        <w:ind w:left="8370" w:hanging="360"/>
      </w:pPr>
      <w:rPr>
        <w:rFonts w:hint="default"/>
        <w:lang w:val="en-GB" w:eastAsia="en-GB" w:bidi="en-GB"/>
      </w:rPr>
    </w:lvl>
    <w:lvl w:ilvl="8" w:tplc="A3744372">
      <w:numFmt w:val="bullet"/>
      <w:lvlText w:val="•"/>
      <w:lvlJc w:val="left"/>
      <w:pPr>
        <w:ind w:left="9360" w:hanging="360"/>
      </w:pPr>
      <w:rPr>
        <w:rFonts w:hint="default"/>
        <w:lang w:val="en-GB" w:eastAsia="en-GB" w:bidi="en-GB"/>
      </w:rPr>
    </w:lvl>
  </w:abstractNum>
  <w:abstractNum w:abstractNumId="12" w15:restartNumberingAfterBreak="0">
    <w:nsid w:val="533D1ED3"/>
    <w:multiLevelType w:val="hybridMultilevel"/>
    <w:tmpl w:val="65CCBE2E"/>
    <w:lvl w:ilvl="0" w:tplc="54E075E8">
      <w:start w:val="9"/>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8D11CEB"/>
    <w:multiLevelType w:val="hybridMultilevel"/>
    <w:tmpl w:val="3F1C8FCA"/>
    <w:lvl w:ilvl="0" w:tplc="82CC557C">
      <w:numFmt w:val="bullet"/>
      <w:lvlText w:val="-"/>
      <w:lvlJc w:val="left"/>
      <w:pPr>
        <w:ind w:left="720" w:hanging="360"/>
      </w:pPr>
      <w:rPr>
        <w:rFonts w:ascii="Arial" w:eastAsia="Arial" w:hAnsi="Arial" w:cs="Arial" w:hint="default"/>
        <w:w w:val="92"/>
        <w:sz w:val="22"/>
        <w:szCs w:val="22"/>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86A4E"/>
    <w:multiLevelType w:val="hybridMultilevel"/>
    <w:tmpl w:val="20EE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35BF4"/>
    <w:multiLevelType w:val="hybridMultilevel"/>
    <w:tmpl w:val="B97C4C5A"/>
    <w:lvl w:ilvl="0" w:tplc="08090001">
      <w:start w:val="1"/>
      <w:numFmt w:val="bullet"/>
      <w:lvlText w:val=""/>
      <w:lvlJc w:val="left"/>
      <w:pPr>
        <w:ind w:left="720" w:hanging="360"/>
      </w:pPr>
      <w:rPr>
        <w:rFonts w:ascii="Symbol" w:hAnsi="Symbol" w:hint="default"/>
      </w:rPr>
    </w:lvl>
    <w:lvl w:ilvl="1" w:tplc="D3F4E3A8">
      <w:numFmt w:val="bullet"/>
      <w:lvlText w:val="-"/>
      <w:lvlJc w:val="left"/>
      <w:pPr>
        <w:ind w:left="1440" w:hanging="360"/>
      </w:pPr>
      <w:rPr>
        <w:rFonts w:ascii="Arial" w:eastAsia="Arial" w:hAnsi="Arial" w:cs="Arial" w:hint="default"/>
        <w:w w:val="100"/>
        <w:sz w:val="22"/>
        <w:szCs w:val="22"/>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F2D8B"/>
    <w:multiLevelType w:val="hybridMultilevel"/>
    <w:tmpl w:val="CE2E5FE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C21F35"/>
    <w:multiLevelType w:val="hybridMultilevel"/>
    <w:tmpl w:val="8F9E41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5326BE"/>
    <w:multiLevelType w:val="hybridMultilevel"/>
    <w:tmpl w:val="E4F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7067B"/>
    <w:multiLevelType w:val="hybridMultilevel"/>
    <w:tmpl w:val="2610974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B119F"/>
    <w:multiLevelType w:val="hybridMultilevel"/>
    <w:tmpl w:val="9B1C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D6874"/>
    <w:multiLevelType w:val="hybridMultilevel"/>
    <w:tmpl w:val="F5DA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C73A0"/>
    <w:multiLevelType w:val="hybridMultilevel"/>
    <w:tmpl w:val="2B3AA0A4"/>
    <w:lvl w:ilvl="0" w:tplc="08090005">
      <w:start w:val="1"/>
      <w:numFmt w:val="bullet"/>
      <w:lvlText w:val=""/>
      <w:lvlJc w:val="left"/>
      <w:pPr>
        <w:ind w:left="2216" w:hanging="361"/>
      </w:pPr>
      <w:rPr>
        <w:rFonts w:ascii="Wingdings" w:hAnsi="Wingdings" w:hint="default"/>
        <w:w w:val="100"/>
        <w:lang w:val="en-GB" w:eastAsia="en-GB" w:bidi="en-GB"/>
      </w:rPr>
    </w:lvl>
    <w:lvl w:ilvl="1" w:tplc="81B214F4">
      <w:numFmt w:val="bullet"/>
      <w:lvlText w:val="o"/>
      <w:lvlJc w:val="left"/>
      <w:pPr>
        <w:ind w:left="2936" w:hanging="358"/>
      </w:pPr>
      <w:rPr>
        <w:rFonts w:ascii="Courier New" w:eastAsia="Courier New" w:hAnsi="Courier New" w:cs="Courier New" w:hint="default"/>
        <w:w w:val="100"/>
        <w:sz w:val="22"/>
        <w:szCs w:val="22"/>
        <w:lang w:val="en-GB" w:eastAsia="en-GB" w:bidi="en-GB"/>
      </w:rPr>
    </w:lvl>
    <w:lvl w:ilvl="2" w:tplc="56F8BC82">
      <w:numFmt w:val="bullet"/>
      <w:lvlText w:val=""/>
      <w:lvlJc w:val="left"/>
      <w:pPr>
        <w:ind w:left="3303" w:hanging="358"/>
      </w:pPr>
      <w:rPr>
        <w:rFonts w:ascii="Wingdings" w:eastAsia="Wingdings" w:hAnsi="Wingdings" w:cs="Wingdings" w:hint="default"/>
        <w:w w:val="99"/>
        <w:sz w:val="20"/>
        <w:szCs w:val="20"/>
        <w:lang w:val="en-GB" w:eastAsia="en-GB" w:bidi="en-GB"/>
      </w:rPr>
    </w:lvl>
    <w:lvl w:ilvl="3" w:tplc="385EEB0A">
      <w:numFmt w:val="bullet"/>
      <w:lvlText w:val="•"/>
      <w:lvlJc w:val="left"/>
      <w:pPr>
        <w:ind w:left="4443" w:hanging="358"/>
      </w:pPr>
      <w:rPr>
        <w:rFonts w:hint="default"/>
        <w:lang w:val="en-GB" w:eastAsia="en-GB" w:bidi="en-GB"/>
      </w:rPr>
    </w:lvl>
    <w:lvl w:ilvl="4" w:tplc="9EB8A32E">
      <w:numFmt w:val="bullet"/>
      <w:lvlText w:val="•"/>
      <w:lvlJc w:val="left"/>
      <w:pPr>
        <w:ind w:left="5591" w:hanging="358"/>
      </w:pPr>
      <w:rPr>
        <w:rFonts w:hint="default"/>
        <w:lang w:val="en-GB" w:eastAsia="en-GB" w:bidi="en-GB"/>
      </w:rPr>
    </w:lvl>
    <w:lvl w:ilvl="5" w:tplc="B8E6CD6C">
      <w:numFmt w:val="bullet"/>
      <w:lvlText w:val="•"/>
      <w:lvlJc w:val="left"/>
      <w:pPr>
        <w:ind w:left="6738" w:hanging="358"/>
      </w:pPr>
      <w:rPr>
        <w:rFonts w:hint="default"/>
        <w:lang w:val="en-GB" w:eastAsia="en-GB" w:bidi="en-GB"/>
      </w:rPr>
    </w:lvl>
    <w:lvl w:ilvl="6" w:tplc="33E40A16">
      <w:numFmt w:val="bullet"/>
      <w:lvlText w:val="•"/>
      <w:lvlJc w:val="left"/>
      <w:pPr>
        <w:ind w:left="7886" w:hanging="358"/>
      </w:pPr>
      <w:rPr>
        <w:rFonts w:hint="default"/>
        <w:lang w:val="en-GB" w:eastAsia="en-GB" w:bidi="en-GB"/>
      </w:rPr>
    </w:lvl>
    <w:lvl w:ilvl="7" w:tplc="64E62FF4">
      <w:numFmt w:val="bullet"/>
      <w:lvlText w:val="•"/>
      <w:lvlJc w:val="left"/>
      <w:pPr>
        <w:ind w:left="9033" w:hanging="358"/>
      </w:pPr>
      <w:rPr>
        <w:rFonts w:hint="default"/>
        <w:lang w:val="en-GB" w:eastAsia="en-GB" w:bidi="en-GB"/>
      </w:rPr>
    </w:lvl>
    <w:lvl w:ilvl="8" w:tplc="051A1D94">
      <w:numFmt w:val="bullet"/>
      <w:lvlText w:val="•"/>
      <w:lvlJc w:val="left"/>
      <w:pPr>
        <w:ind w:left="10181" w:hanging="358"/>
      </w:pPr>
      <w:rPr>
        <w:rFonts w:hint="default"/>
        <w:lang w:val="en-GB" w:eastAsia="en-GB" w:bidi="en-GB"/>
      </w:rPr>
    </w:lvl>
  </w:abstractNum>
  <w:abstractNum w:abstractNumId="23"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2"/>
  </w:num>
  <w:num w:numId="10">
    <w:abstractNumId w:val="1"/>
  </w:num>
  <w:num w:numId="11">
    <w:abstractNumId w:val="5"/>
  </w:num>
  <w:num w:numId="12">
    <w:abstractNumId w:val="14"/>
  </w:num>
  <w:num w:numId="13">
    <w:abstractNumId w:val="8"/>
  </w:num>
  <w:num w:numId="14">
    <w:abstractNumId w:val="6"/>
  </w:num>
  <w:num w:numId="15">
    <w:abstractNumId w:val="0"/>
  </w:num>
  <w:num w:numId="16">
    <w:abstractNumId w:val="13"/>
  </w:num>
  <w:num w:numId="17">
    <w:abstractNumId w:val="17"/>
  </w:num>
  <w:num w:numId="18">
    <w:abstractNumId w:val="11"/>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19"/>
  </w:num>
  <w:num w:numId="24">
    <w:abstractNumId w:val="10"/>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44B66"/>
    <w:rsid w:val="000575C2"/>
    <w:rsid w:val="000A6EBC"/>
    <w:rsid w:val="001712C0"/>
    <w:rsid w:val="00205F01"/>
    <w:rsid w:val="00241293"/>
    <w:rsid w:val="002B7673"/>
    <w:rsid w:val="00301E85"/>
    <w:rsid w:val="003278C1"/>
    <w:rsid w:val="00390FEA"/>
    <w:rsid w:val="003F1101"/>
    <w:rsid w:val="0041465E"/>
    <w:rsid w:val="00465B88"/>
    <w:rsid w:val="00481002"/>
    <w:rsid w:val="00485586"/>
    <w:rsid w:val="004A3F76"/>
    <w:rsid w:val="005051F9"/>
    <w:rsid w:val="00614C77"/>
    <w:rsid w:val="00622500"/>
    <w:rsid w:val="00645252"/>
    <w:rsid w:val="006D3D74"/>
    <w:rsid w:val="007139D0"/>
    <w:rsid w:val="00715262"/>
    <w:rsid w:val="00761230"/>
    <w:rsid w:val="0077046E"/>
    <w:rsid w:val="007A35A7"/>
    <w:rsid w:val="007C6D38"/>
    <w:rsid w:val="008167A7"/>
    <w:rsid w:val="0083569A"/>
    <w:rsid w:val="00946B8A"/>
    <w:rsid w:val="00953F75"/>
    <w:rsid w:val="00985504"/>
    <w:rsid w:val="00987905"/>
    <w:rsid w:val="009A4E82"/>
    <w:rsid w:val="009D2B9B"/>
    <w:rsid w:val="00A513E9"/>
    <w:rsid w:val="00A9204E"/>
    <w:rsid w:val="00B86B77"/>
    <w:rsid w:val="00BD3CB7"/>
    <w:rsid w:val="00C51F00"/>
    <w:rsid w:val="00C73FD3"/>
    <w:rsid w:val="00D431DE"/>
    <w:rsid w:val="00D448E3"/>
    <w:rsid w:val="00DB7724"/>
    <w:rsid w:val="00DE79E3"/>
    <w:rsid w:val="00E22203"/>
    <w:rsid w:val="00E31658"/>
    <w:rsid w:val="00E511D7"/>
    <w:rsid w:val="00EA53C2"/>
    <w:rsid w:val="00F47E31"/>
    <w:rsid w:val="00FB3009"/>
    <w:rsid w:val="00FD18FF"/>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 w:type="character" w:customStyle="1" w:styleId="Hyperlink1">
    <w:name w:val="Hyperlink1"/>
    <w:basedOn w:val="DefaultParagraphFont"/>
    <w:uiPriority w:val="99"/>
    <w:unhideWhenUsed/>
    <w:rsid w:val="00044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c.medicines.org.uk/" TargetMode="External"/><Relationship Id="rId18" Type="http://schemas.openxmlformats.org/officeDocument/2006/relationships/hyperlink" Target="https://www.hey.nhs.uk/wp/wp-content/uploads/2016/03/unlicensedOffLabelMedicine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emc.medicines.org.uk" TargetMode="External"/><Relationship Id="rId17" Type="http://schemas.openxmlformats.org/officeDocument/2006/relationships/hyperlink" Target="https://www.medicinescomplete.com/mc/bnf/current/PHP4671-ibandronic-acid.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icines.org.uk/" TargetMode="External"/><Relationship Id="rId20" Type="http://schemas.openxmlformats.org/officeDocument/2006/relationships/hyperlink" Target="https://www.hey.nhs.uk/wp/wp-content/uploads/2016/03/unlicensedOffLabelMedicin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18/03/responsibility-prescribing-between-primary-secondary-care-v2.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annonc.oxfordjournals.org/content/27/3/379.full.pdf+html" TargetMode="External"/><Relationship Id="rId23" Type="http://schemas.openxmlformats.org/officeDocument/2006/relationships/header" Target="header2.xml"/><Relationship Id="rId10" Type="http://schemas.openxmlformats.org/officeDocument/2006/relationships/hyperlink" Target="https://www.england.nhs.uk/wp-content/uploads/2018/03/responsibility-prescribing-between-primary-secondary-care-v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lancet.com/journals/lancet/article/PIIS0140-6736(15)60908-4/abstrac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0C3238"/>
    <w:rsid w:val="001A1BAE"/>
    <w:rsid w:val="003C444A"/>
    <w:rsid w:val="00476E05"/>
    <w:rsid w:val="00757CB1"/>
    <w:rsid w:val="008F1390"/>
    <w:rsid w:val="00A5572D"/>
    <w:rsid w:val="00C1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7</TotalTime>
  <Pages>17</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Rachel Barrowcliff (CCG)</cp:lastModifiedBy>
  <cp:revision>7</cp:revision>
  <dcterms:created xsi:type="dcterms:W3CDTF">2021-09-10T08:53:00Z</dcterms:created>
  <dcterms:modified xsi:type="dcterms:W3CDTF">2021-10-04T16:28:00Z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