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4900" w14:textId="11D28F74" w:rsidR="001413E1" w:rsidRPr="004922AE" w:rsidRDefault="001413E1" w:rsidP="004922AE">
      <w:pPr>
        <w:pStyle w:val="Heading1"/>
        <w:rPr>
          <w:sz w:val="22"/>
          <w:szCs w:val="22"/>
        </w:rPr>
      </w:pPr>
      <w:r w:rsidRPr="007A35A7">
        <w:rPr>
          <w:bCs/>
        </w:rPr>
        <w:t>Agenda Item:</w:t>
      </w:r>
      <w:r>
        <w:rPr>
          <w:bCs/>
        </w:rPr>
        <w:tab/>
      </w:r>
      <w:r w:rsidR="00603736">
        <w:rPr>
          <w:bCs/>
        </w:rPr>
        <w:t>7a(II)</w:t>
      </w:r>
    </w:p>
    <w:p w14:paraId="2A5A7CE3" w14:textId="77777777" w:rsidR="001413E1" w:rsidRDefault="001413E1" w:rsidP="001413E1">
      <w:pPr>
        <w:rPr>
          <w:rFonts w:ascii="Arial" w:hAnsi="Arial" w:cs="Arial"/>
        </w:rPr>
      </w:pPr>
    </w:p>
    <w:p w14:paraId="6C75DBEA" w14:textId="6B9FC328" w:rsidR="001413E1" w:rsidRDefault="001413E1" w:rsidP="001413E1">
      <w:pPr>
        <w:rPr>
          <w:rFonts w:ascii="Arial" w:hAnsi="Arial" w:cs="Arial"/>
          <w:b/>
          <w:bCs/>
        </w:rPr>
      </w:pPr>
      <w:r>
        <w:rPr>
          <w:rFonts w:ascii="Arial" w:hAnsi="Arial" w:cs="Arial"/>
          <w:b/>
          <w:bCs/>
        </w:rPr>
        <w:t>Report to: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sdt>
        <w:sdtPr>
          <w:rPr>
            <w:rFonts w:ascii="Arial" w:hAnsi="Arial" w:cs="Arial"/>
            <w:b/>
            <w:bCs/>
          </w:rPr>
          <w:id w:val="-78752904"/>
          <w:placeholder>
            <w:docPart w:val="7B4A4A5C61B9451CA67EFDABF33AC263"/>
          </w:placeholder>
          <w:text/>
        </w:sdtPr>
        <w:sdtEndPr/>
        <w:sdtContent>
          <w:r w:rsidR="00E97CDA" w:rsidRPr="00603736">
            <w:rPr>
              <w:rFonts w:ascii="Arial" w:hAnsi="Arial" w:cs="Arial"/>
              <w:b/>
              <w:bCs/>
            </w:rPr>
            <w:t xml:space="preserve">Primary Care Commissioning Committee </w:t>
          </w:r>
        </w:sdtContent>
      </w:sdt>
    </w:p>
    <w:p w14:paraId="00829CD8" w14:textId="721068A7" w:rsidR="001413E1" w:rsidRDefault="001413E1" w:rsidP="001413E1">
      <w:pPr>
        <w:rPr>
          <w:rFonts w:ascii="Arial" w:hAnsi="Arial" w:cs="Arial"/>
          <w:b/>
          <w:bCs/>
        </w:rPr>
      </w:pPr>
      <w:r>
        <w:rPr>
          <w:rFonts w:ascii="Arial" w:hAnsi="Arial" w:cs="Arial"/>
          <w:b/>
          <w:bCs/>
        </w:rPr>
        <w:t>Date of meeting:</w:t>
      </w:r>
      <w:r>
        <w:rPr>
          <w:rFonts w:ascii="Arial" w:hAnsi="Arial" w:cs="Arial"/>
          <w:b/>
          <w:bCs/>
        </w:rPr>
        <w:tab/>
      </w:r>
      <w:r>
        <w:rPr>
          <w:rFonts w:ascii="Arial" w:hAnsi="Arial" w:cs="Arial"/>
          <w:b/>
          <w:bCs/>
        </w:rPr>
        <w:tab/>
      </w:r>
      <w:r>
        <w:rPr>
          <w:rFonts w:ascii="Arial" w:hAnsi="Arial" w:cs="Arial"/>
          <w:b/>
          <w:bCs/>
        </w:rPr>
        <w:tab/>
      </w:r>
      <w:sdt>
        <w:sdtPr>
          <w:rPr>
            <w:rFonts w:ascii="Arial" w:hAnsi="Arial" w:cs="Arial"/>
            <w:b/>
            <w:bCs/>
          </w:rPr>
          <w:id w:val="-943372577"/>
          <w:placeholder>
            <w:docPart w:val="ECF697849056447AA49A8A9379CE3103"/>
          </w:placeholder>
          <w:date w:fullDate="2021-10-12T00:00:00Z">
            <w:dateFormat w:val="dd/MM/yyyy"/>
            <w:lid w:val="en-GB"/>
            <w:storeMappedDataAs w:val="dateTime"/>
            <w:calendar w:val="gregorian"/>
          </w:date>
        </w:sdtPr>
        <w:sdtEndPr/>
        <w:sdtContent>
          <w:r w:rsidR="00E97CDA">
            <w:rPr>
              <w:rFonts w:ascii="Arial" w:hAnsi="Arial" w:cs="Arial"/>
              <w:b/>
              <w:bCs/>
            </w:rPr>
            <w:t>12/10/2021</w:t>
          </w:r>
        </w:sdtContent>
      </w:sdt>
    </w:p>
    <w:p w14:paraId="2DC7AF43" w14:textId="40D943C6" w:rsidR="001413E1" w:rsidRDefault="001413E1" w:rsidP="001413E1">
      <w:pPr>
        <w:rPr>
          <w:rFonts w:ascii="Arial" w:hAnsi="Arial" w:cs="Arial"/>
          <w:b/>
          <w:bCs/>
        </w:rPr>
      </w:pPr>
      <w:r>
        <w:rPr>
          <w:rFonts w:ascii="Arial" w:hAnsi="Arial" w:cs="Arial"/>
          <w:b/>
          <w:bCs/>
        </w:rPr>
        <w:t>Date paper distributed:</w:t>
      </w:r>
      <w:r>
        <w:rPr>
          <w:rFonts w:ascii="Arial" w:hAnsi="Arial" w:cs="Arial"/>
          <w:b/>
          <w:bCs/>
        </w:rPr>
        <w:tab/>
      </w:r>
      <w:r>
        <w:rPr>
          <w:rFonts w:ascii="Arial" w:hAnsi="Arial" w:cs="Arial"/>
          <w:b/>
          <w:bCs/>
        </w:rPr>
        <w:tab/>
      </w:r>
      <w:sdt>
        <w:sdtPr>
          <w:rPr>
            <w:rFonts w:ascii="Arial" w:hAnsi="Arial" w:cs="Arial"/>
            <w:b/>
            <w:bCs/>
          </w:rPr>
          <w:id w:val="1740286743"/>
          <w:placeholder>
            <w:docPart w:val="318BFC99CDA64310943E9F4A40FC83DA"/>
          </w:placeholder>
          <w:date w:fullDate="2021-10-05T00:00:00Z">
            <w:dateFormat w:val="dd/MM/yyyy"/>
            <w:lid w:val="en-GB"/>
            <w:storeMappedDataAs w:val="dateTime"/>
            <w:calendar w:val="gregorian"/>
          </w:date>
        </w:sdtPr>
        <w:sdtEndPr/>
        <w:sdtContent>
          <w:r w:rsidR="00BE5F50">
            <w:rPr>
              <w:rFonts w:ascii="Arial" w:hAnsi="Arial" w:cs="Arial"/>
              <w:b/>
              <w:bCs/>
            </w:rPr>
            <w:t>05/10/2021</w:t>
          </w:r>
        </w:sdtContent>
      </w:sdt>
    </w:p>
    <w:p w14:paraId="609B57EF" w14:textId="086070CA" w:rsidR="001413E1" w:rsidRDefault="001413E1" w:rsidP="001413E1">
      <w:pPr>
        <w:rPr>
          <w:rFonts w:ascii="Arial" w:hAnsi="Arial" w:cs="Arial"/>
          <w:b/>
          <w:bCs/>
        </w:rPr>
      </w:pPr>
      <w:r>
        <w:rPr>
          <w:rFonts w:ascii="Arial" w:hAnsi="Arial" w:cs="Arial"/>
          <w:b/>
          <w:bCs/>
        </w:rPr>
        <w:t>Subject: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sdt>
        <w:sdtPr>
          <w:rPr>
            <w:rFonts w:ascii="Arial" w:hAnsi="Arial" w:cs="Arial"/>
            <w:b/>
            <w:bCs/>
          </w:rPr>
          <w:id w:val="1217166332"/>
          <w:placeholder>
            <w:docPart w:val="B04AF10340294CFE869FF74ACBBF5463"/>
          </w:placeholder>
          <w:text/>
        </w:sdtPr>
        <w:sdtEndPr/>
        <w:sdtContent>
          <w:r w:rsidR="00E97CDA">
            <w:rPr>
              <w:rFonts w:ascii="Arial" w:hAnsi="Arial" w:cs="Arial"/>
              <w:b/>
              <w:bCs/>
            </w:rPr>
            <w:t xml:space="preserve">Neurology Shared Care Frameworks </w:t>
          </w:r>
        </w:sdtContent>
      </w:sdt>
    </w:p>
    <w:p w14:paraId="428952D0" w14:textId="20573680" w:rsidR="001413E1" w:rsidRDefault="001413E1" w:rsidP="001413E1">
      <w:pPr>
        <w:rPr>
          <w:rFonts w:ascii="Arial" w:hAnsi="Arial" w:cs="Arial"/>
          <w:b/>
          <w:bCs/>
        </w:rPr>
      </w:pPr>
      <w:r>
        <w:rPr>
          <w:rFonts w:ascii="Arial" w:hAnsi="Arial" w:cs="Arial"/>
          <w:b/>
          <w:bCs/>
        </w:rPr>
        <w:t>Presented by:</w:t>
      </w:r>
      <w:r>
        <w:rPr>
          <w:rFonts w:ascii="Arial" w:hAnsi="Arial" w:cs="Arial"/>
          <w:b/>
          <w:bCs/>
        </w:rPr>
        <w:tab/>
      </w:r>
      <w:r>
        <w:rPr>
          <w:rFonts w:ascii="Arial" w:hAnsi="Arial" w:cs="Arial"/>
          <w:b/>
          <w:bCs/>
        </w:rPr>
        <w:tab/>
      </w:r>
      <w:r>
        <w:rPr>
          <w:rFonts w:ascii="Arial" w:hAnsi="Arial" w:cs="Arial"/>
          <w:b/>
          <w:bCs/>
        </w:rPr>
        <w:tab/>
      </w:r>
      <w:sdt>
        <w:sdtPr>
          <w:rPr>
            <w:rFonts w:ascii="Arial" w:hAnsi="Arial" w:cs="Arial"/>
            <w:b/>
            <w:bCs/>
          </w:rPr>
          <w:id w:val="933938557"/>
          <w:placeholder>
            <w:docPart w:val="790F6515D82341E4914E88AE0D7C0249"/>
          </w:placeholder>
          <w:text/>
        </w:sdtPr>
        <w:sdtEndPr/>
        <w:sdtContent>
          <w:r w:rsidR="00E97CDA">
            <w:rPr>
              <w:rFonts w:ascii="Arial" w:hAnsi="Arial" w:cs="Arial"/>
              <w:b/>
              <w:bCs/>
            </w:rPr>
            <w:t xml:space="preserve">Rachel Barrowcliff/ James Ledger </w:t>
          </w:r>
        </w:sdtContent>
      </w:sdt>
    </w:p>
    <w:p w14:paraId="5127C919" w14:textId="29AEB11D" w:rsidR="001413E1" w:rsidRDefault="001413E1" w:rsidP="001413E1">
      <w:pPr>
        <w:rPr>
          <w:rFonts w:ascii="Arial" w:hAnsi="Arial" w:cs="Arial"/>
          <w:b/>
          <w:bCs/>
        </w:rPr>
      </w:pPr>
      <w:r>
        <w:rPr>
          <w:rFonts w:ascii="Arial" w:hAnsi="Arial" w:cs="Arial"/>
          <w:b/>
          <w:bCs/>
        </w:rPr>
        <w:t>Previously distributed to:</w:t>
      </w:r>
      <w:r>
        <w:rPr>
          <w:rFonts w:ascii="Arial" w:hAnsi="Arial" w:cs="Arial"/>
          <w:b/>
          <w:bCs/>
        </w:rPr>
        <w:tab/>
      </w:r>
      <w:r>
        <w:rPr>
          <w:rFonts w:ascii="Arial" w:hAnsi="Arial" w:cs="Arial"/>
          <w:b/>
          <w:bCs/>
        </w:rPr>
        <w:tab/>
      </w:r>
      <w:sdt>
        <w:sdtPr>
          <w:rPr>
            <w:rFonts w:ascii="Arial" w:hAnsi="Arial" w:cs="Arial"/>
            <w:b/>
            <w:bCs/>
            <w:lang w:val="en-US"/>
          </w:rPr>
          <w:id w:val="1504311521"/>
          <w:placeholder>
            <w:docPart w:val="9797AC6A1EC04181A92B19FB89D94124"/>
          </w:placeholder>
          <w:text/>
        </w:sdtPr>
        <w:sdtEndPr/>
        <w:sdtContent>
          <w:r w:rsidR="004922AE" w:rsidRPr="004922AE">
            <w:rPr>
              <w:rFonts w:ascii="Arial" w:hAnsi="Arial" w:cs="Arial"/>
              <w:b/>
              <w:bCs/>
              <w:lang w:val="en-US"/>
            </w:rPr>
            <w:t>Northern Lincolnshire Area Prescribing Committee</w:t>
          </w:r>
        </w:sdtContent>
      </w:sdt>
    </w:p>
    <w:p w14:paraId="7E5A9873" w14:textId="5214AE0A" w:rsidR="001413E1" w:rsidRDefault="004922AE" w:rsidP="001413E1">
      <w:pPr>
        <w:rPr>
          <w:rFonts w:ascii="Arial" w:hAnsi="Arial" w:cs="Arial"/>
          <w:b/>
          <w:bCs/>
        </w:rPr>
      </w:pPr>
      <w:r>
        <w:rPr>
          <w:noProof/>
        </w:rPr>
        <mc:AlternateContent>
          <mc:Choice Requires="wps">
            <w:drawing>
              <wp:inline distT="0" distB="0" distL="0" distR="0" wp14:anchorId="65CCD42C" wp14:editId="405E414E">
                <wp:extent cx="6196965" cy="1987826"/>
                <wp:effectExtent l="0" t="0" r="13335" b="1270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1987826"/>
                        </a:xfrm>
                        <a:prstGeom prst="rect">
                          <a:avLst/>
                        </a:prstGeom>
                        <a:solidFill>
                          <a:srgbClr val="FFFFFF"/>
                        </a:solidFill>
                        <a:ln w="6350">
                          <a:solidFill>
                            <a:schemeClr val="tx1">
                              <a:lumMod val="100000"/>
                              <a:lumOff val="0"/>
                            </a:schemeClr>
                          </a:solidFill>
                          <a:miter lim="800000"/>
                          <a:headEnd/>
                          <a:tailEnd/>
                        </a:ln>
                      </wps:spPr>
                      <wps:txbx>
                        <w:txbxContent>
                          <w:p w14:paraId="3F15BAC2" w14:textId="1D919F21" w:rsidR="004922AE" w:rsidRPr="004922AE" w:rsidRDefault="004922AE" w:rsidP="004922AE">
                            <w:pPr>
                              <w:rPr>
                                <w:rFonts w:cstheme="minorHAnsi"/>
                                <w:b/>
                              </w:rPr>
                            </w:pPr>
                            <w:r>
                              <w:rPr>
                                <w:rFonts w:cstheme="minorHAnsi"/>
                                <w:b/>
                              </w:rPr>
                              <w:t xml:space="preserve">STATUS OF THE REPORT </w:t>
                            </w:r>
                            <w:r>
                              <w:rPr>
                                <w:rFonts w:cstheme="minorHAnsi"/>
                                <w:b/>
                                <w:i/>
                              </w:rPr>
                              <w:t>(auto check relevant box</w:t>
                            </w:r>
                            <w:r>
                              <w:rPr>
                                <w:rFonts w:cstheme="minorHAnsi"/>
                                <w:i/>
                              </w:rPr>
                              <w:t>)</w:t>
                            </w:r>
                          </w:p>
                          <w:p w14:paraId="3FAA67C3" w14:textId="77777777" w:rsidR="004922AE" w:rsidRDefault="004922AE" w:rsidP="004922AE">
                            <w:pPr>
                              <w:spacing w:line="276" w:lineRule="auto"/>
                              <w:rPr>
                                <w:rFonts w:cstheme="minorHAnsi"/>
                              </w:rPr>
                            </w:pPr>
                            <w:r>
                              <w:rPr>
                                <w:rFonts w:cstheme="minorHAnsi"/>
                                <w:b/>
                                <w:bCs/>
                              </w:rPr>
                              <w:t>Decision required</w:t>
                            </w:r>
                            <w:r>
                              <w:rPr>
                                <w:rFonts w:cstheme="minorHAnsi"/>
                              </w:rPr>
                              <w:tab/>
                            </w:r>
                            <w:r>
                              <w:rPr>
                                <w:rFonts w:cstheme="minorHAnsi"/>
                              </w:rPr>
                              <w:tab/>
                            </w:r>
                            <w:r>
                              <w:rPr>
                                <w:rFonts w:cstheme="minorHAnsi"/>
                              </w:rPr>
                              <w:tab/>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p w14:paraId="075B8207" w14:textId="77777777" w:rsidR="004922AE" w:rsidRDefault="004922AE" w:rsidP="004922AE">
                            <w:pPr>
                              <w:spacing w:line="276" w:lineRule="auto"/>
                              <w:rPr>
                                <w:rFonts w:cstheme="minorHAnsi"/>
                              </w:rPr>
                            </w:pPr>
                            <w:r>
                              <w:rPr>
                                <w:rFonts w:cstheme="minorHAnsi"/>
                                <w:b/>
                                <w:bCs/>
                              </w:rPr>
                              <w:t xml:space="preserve">For Discussion to give Assurance </w:t>
                            </w:r>
                            <w:r>
                              <w:rPr>
                                <w:rFonts w:cstheme="minorHAnsi"/>
                                <w:b/>
                                <w:bCs/>
                              </w:rPr>
                              <w:tab/>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cstheme="minorHAnsi"/>
                                <w:i/>
                                <w:iCs/>
                              </w:rPr>
                              <w:t>(Only if requested by Committee member prior to meeting)</w:t>
                            </w:r>
                          </w:p>
                          <w:p w14:paraId="5C980661" w14:textId="77777777" w:rsidR="004922AE" w:rsidRDefault="004922AE" w:rsidP="004922AE">
                            <w:pPr>
                              <w:spacing w:line="276" w:lineRule="auto"/>
                              <w:rPr>
                                <w:rFonts w:cstheme="minorHAnsi"/>
                              </w:rPr>
                            </w:pPr>
                            <w:r>
                              <w:rPr>
                                <w:rFonts w:cstheme="minorHAnsi"/>
                                <w:b/>
                                <w:bCs/>
                              </w:rPr>
                              <w:t>For Information</w:t>
                            </w:r>
                            <w:r>
                              <w:rPr>
                                <w:rFonts w:cstheme="minorHAnsi"/>
                                <w:b/>
                                <w:bCs/>
                              </w:rPr>
                              <w:tab/>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F39AE26" w14:textId="77777777" w:rsidR="004922AE" w:rsidRDefault="004922AE" w:rsidP="004922AE">
                            <w:pPr>
                              <w:spacing w:line="276" w:lineRule="auto"/>
                              <w:rPr>
                                <w:rFonts w:cstheme="minorHAnsi"/>
                              </w:rPr>
                            </w:pPr>
                            <w:r>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r>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65CCD42C" id="Rectangle 8" o:spid="_x0000_s1026" style="width:487.9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" strokecolor="black [3213]" strokeweight=".5pt">
                <v:textbox>
                  <w:txbxContent>
                    <w:p w14:paraId="3F15BAC2" w14:textId="1D919F21" w:rsidR="004922AE" w:rsidRPr="004922AE" w:rsidRDefault="004922AE" w:rsidP="004922AE">
                      <w:pPr>
                        <w:rPr>
                          <w:rFonts w:cstheme="minorHAnsi"/>
                          <w:b/>
                        </w:rPr>
                      </w:pPr>
                      <w:r>
                        <w:rPr>
                          <w:rFonts w:cstheme="minorHAnsi"/>
                          <w:b/>
                        </w:rPr>
                        <w:t xml:space="preserve">STATUS OF THE REPORT </w:t>
                      </w:r>
                      <w:r>
                        <w:rPr>
                          <w:rFonts w:cstheme="minorHAnsi"/>
                          <w:b/>
                          <w:i/>
                        </w:rPr>
                        <w:t>(auto check relevant box</w:t>
                      </w:r>
                      <w:r>
                        <w:rPr>
                          <w:rFonts w:cstheme="minorHAnsi"/>
                          <w:i/>
                        </w:rPr>
                        <w:t>)</w:t>
                      </w:r>
                    </w:p>
                    <w:p w14:paraId="3FAA67C3" w14:textId="77777777" w:rsidR="004922AE" w:rsidRDefault="004922AE" w:rsidP="004922AE">
                      <w:pPr>
                        <w:spacing w:line="276" w:lineRule="auto"/>
                        <w:rPr>
                          <w:rFonts w:cstheme="minorHAnsi"/>
                        </w:rPr>
                      </w:pPr>
                      <w:r>
                        <w:rPr>
                          <w:rFonts w:cstheme="minorHAnsi"/>
                          <w:b/>
                          <w:bCs/>
                        </w:rPr>
                        <w:t>Decision required</w:t>
                      </w:r>
                      <w:r>
                        <w:rPr>
                          <w:rFonts w:cstheme="minorHAnsi"/>
                        </w:rPr>
                        <w:tab/>
                      </w:r>
                      <w:r>
                        <w:rPr>
                          <w:rFonts w:cstheme="minorHAnsi"/>
                        </w:rPr>
                        <w:tab/>
                      </w:r>
                      <w:r>
                        <w:rPr>
                          <w:rFonts w:cstheme="minorHAnsi"/>
                        </w:rPr>
                        <w:tab/>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p>
                    <w:p w14:paraId="075B8207" w14:textId="77777777" w:rsidR="004922AE" w:rsidRDefault="004922AE" w:rsidP="004922AE">
                      <w:pPr>
                        <w:spacing w:line="276" w:lineRule="auto"/>
                        <w:rPr>
                          <w:rFonts w:cstheme="minorHAnsi"/>
                        </w:rPr>
                      </w:pPr>
                      <w:r>
                        <w:rPr>
                          <w:rFonts w:cstheme="minorHAnsi"/>
                          <w:b/>
                          <w:bCs/>
                        </w:rPr>
                        <w:t xml:space="preserve">For Discussion to give Assurance </w:t>
                      </w:r>
                      <w:r>
                        <w:rPr>
                          <w:rFonts w:cstheme="minorHAnsi"/>
                          <w:b/>
                          <w:bCs/>
                        </w:rPr>
                        <w:tab/>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cstheme="minorHAnsi"/>
                          <w:i/>
                          <w:iCs/>
                        </w:rPr>
                        <w:t>(Only if requested by Committee member prior to meeting)</w:t>
                      </w:r>
                    </w:p>
                    <w:p w14:paraId="5C980661" w14:textId="77777777" w:rsidR="004922AE" w:rsidRDefault="004922AE" w:rsidP="004922AE">
                      <w:pPr>
                        <w:spacing w:line="276" w:lineRule="auto"/>
                        <w:rPr>
                          <w:rFonts w:cstheme="minorHAnsi"/>
                        </w:rPr>
                      </w:pPr>
                      <w:r>
                        <w:rPr>
                          <w:rFonts w:cstheme="minorHAnsi"/>
                          <w:b/>
                          <w:bCs/>
                        </w:rPr>
                        <w:t>For Information</w:t>
                      </w:r>
                      <w:r>
                        <w:rPr>
                          <w:rFonts w:cstheme="minorHAnsi"/>
                          <w:b/>
                          <w:bCs/>
                        </w:rPr>
                        <w:tab/>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F39AE26" w14:textId="77777777" w:rsidR="004922AE" w:rsidRDefault="004922AE" w:rsidP="004922AE">
                      <w:pPr>
                        <w:spacing w:line="276" w:lineRule="auto"/>
                        <w:rPr>
                          <w:rFonts w:cstheme="minorHAnsi"/>
                        </w:rPr>
                      </w:pPr>
                      <w:r>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r>
                        <w:rPr>
                          <w:rFonts w:cstheme="minorHAnsi"/>
                        </w:rPr>
                        <w:tab/>
                      </w:r>
                      <w:sdt>
                        <w:sdtPr>
                          <w:rPr>
                            <w:rFonts w:cstheme="minorHAnsi"/>
                          </w:rPr>
                          <w:id w:val="3358934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Yes</w:t>
                      </w:r>
                    </w:p>
                  </w:txbxContent>
                </v:textbox>
                <w10:anchorlock/>
              </v:rect>
            </w:pict>
          </mc:Fallback>
        </mc:AlternateContent>
      </w:r>
    </w:p>
    <w:tbl>
      <w:tblPr>
        <w:tblStyle w:val="TableGrid"/>
        <w:tblpPr w:leftFromText="180" w:rightFromText="180" w:vertAnchor="page" w:horzAnchor="margin" w:tblpY="8103"/>
        <w:tblW w:w="9781" w:type="dxa"/>
        <w:tblLayout w:type="fixed"/>
        <w:tblLook w:val="04A0" w:firstRow="1" w:lastRow="0" w:firstColumn="1" w:lastColumn="0" w:noHBand="0" w:noVBand="1"/>
      </w:tblPr>
      <w:tblGrid>
        <w:gridCol w:w="1990"/>
        <w:gridCol w:w="7791"/>
      </w:tblGrid>
      <w:tr w:rsidR="004922AE" w:rsidRPr="003F1101" w14:paraId="021D61C4" w14:textId="77777777" w:rsidTr="004922AE">
        <w:trPr>
          <w:trHeight w:val="660"/>
        </w:trPr>
        <w:tc>
          <w:tcPr>
            <w:tcW w:w="1990" w:type="dxa"/>
            <w:shd w:val="clear" w:color="auto" w:fill="948A54" w:themeFill="background2" w:themeFillShade="80"/>
          </w:tcPr>
          <w:p w14:paraId="3B635D64" w14:textId="77777777" w:rsidR="004922AE" w:rsidRPr="003F1101" w:rsidRDefault="004922AE" w:rsidP="004922AE">
            <w:pPr>
              <w:jc w:val="center"/>
              <w:rPr>
                <w:rFonts w:ascii="Arial" w:hAnsi="Arial" w:cs="Arial"/>
                <w:b/>
                <w:color w:val="FFFFFF" w:themeColor="background1"/>
              </w:rPr>
            </w:pPr>
            <w:r w:rsidRPr="003F1101">
              <w:rPr>
                <w:rFonts w:ascii="Arial" w:hAnsi="Arial" w:cs="Arial"/>
                <w:b/>
                <w:color w:val="FFFFFF" w:themeColor="background1"/>
              </w:rPr>
              <w:t>PURPOSE OF REPORT:</w:t>
            </w:r>
          </w:p>
          <w:p w14:paraId="6E02AAC7" w14:textId="77777777" w:rsidR="004922AE" w:rsidRPr="003F1101" w:rsidRDefault="004922AE" w:rsidP="004922AE">
            <w:pPr>
              <w:pStyle w:val="NoSpacing"/>
              <w:jc w:val="center"/>
              <w:rPr>
                <w:rFonts w:ascii="Arial" w:hAnsi="Arial" w:cs="Arial"/>
                <w:b/>
                <w:color w:val="FFFFFF" w:themeColor="background1"/>
              </w:rPr>
            </w:pPr>
          </w:p>
        </w:tc>
        <w:tc>
          <w:tcPr>
            <w:tcW w:w="7791" w:type="dxa"/>
          </w:tcPr>
          <w:p w14:paraId="775E923F" w14:textId="55D61C8C" w:rsidR="004922AE" w:rsidRPr="00E97CDA" w:rsidRDefault="004922AE" w:rsidP="004922AE">
            <w:pPr>
              <w:pStyle w:val="Default"/>
              <w:jc w:val="both"/>
              <w:rPr>
                <w:sz w:val="22"/>
                <w:szCs w:val="22"/>
              </w:rPr>
            </w:pPr>
            <w:r>
              <w:rPr>
                <w:sz w:val="22"/>
                <w:szCs w:val="22"/>
              </w:rPr>
              <w:t xml:space="preserve">To </w:t>
            </w:r>
            <w:r w:rsidRPr="00E97CDA">
              <w:rPr>
                <w:sz w:val="22"/>
                <w:szCs w:val="22"/>
              </w:rPr>
              <w:t xml:space="preserve">set out two new shared care prescribing frameworks for the management of neurological conditions. </w:t>
            </w:r>
          </w:p>
        </w:tc>
      </w:tr>
      <w:tr w:rsidR="004922AE" w:rsidRPr="003F1101" w14:paraId="04643769" w14:textId="77777777" w:rsidTr="004922AE">
        <w:trPr>
          <w:trHeight w:val="540"/>
        </w:trPr>
        <w:tc>
          <w:tcPr>
            <w:tcW w:w="1990" w:type="dxa"/>
            <w:shd w:val="clear" w:color="auto" w:fill="948A54" w:themeFill="background2" w:themeFillShade="80"/>
          </w:tcPr>
          <w:p w14:paraId="3C3C5ED1" w14:textId="77777777" w:rsidR="004922AE" w:rsidRPr="003F1101" w:rsidRDefault="004922AE" w:rsidP="004922AE">
            <w:pPr>
              <w:pStyle w:val="Default"/>
              <w:jc w:val="center"/>
              <w:rPr>
                <w:b/>
                <w:color w:val="FFFFFF"/>
                <w:sz w:val="22"/>
                <w:szCs w:val="22"/>
              </w:rPr>
            </w:pPr>
            <w:r w:rsidRPr="003F1101">
              <w:rPr>
                <w:b/>
                <w:color w:val="FFFFFF"/>
                <w:sz w:val="22"/>
                <w:szCs w:val="22"/>
              </w:rPr>
              <w:t>Recommendations:</w:t>
            </w:r>
          </w:p>
        </w:tc>
        <w:tc>
          <w:tcPr>
            <w:tcW w:w="7791" w:type="dxa"/>
          </w:tcPr>
          <w:p w14:paraId="730E3DC2" w14:textId="77777777" w:rsidR="004922AE" w:rsidRPr="00E97CDA" w:rsidRDefault="004922AE" w:rsidP="004922AE">
            <w:pPr>
              <w:pStyle w:val="Default"/>
              <w:jc w:val="both"/>
              <w:rPr>
                <w:sz w:val="22"/>
                <w:szCs w:val="22"/>
              </w:rPr>
            </w:pPr>
            <w:r w:rsidRPr="00E97CDA">
              <w:rPr>
                <w:sz w:val="22"/>
                <w:szCs w:val="22"/>
              </w:rPr>
              <w:t xml:space="preserve">The committee is recommended to approve the frameworks for addition to the Enhanced Service for shared care </w:t>
            </w:r>
          </w:p>
        </w:tc>
      </w:tr>
      <w:tr w:rsidR="004922AE" w:rsidRPr="003F1101" w14:paraId="33B4B620" w14:textId="77777777" w:rsidTr="004922AE">
        <w:trPr>
          <w:trHeight w:val="253"/>
        </w:trPr>
        <w:tc>
          <w:tcPr>
            <w:tcW w:w="1990" w:type="dxa"/>
            <w:shd w:val="clear" w:color="auto" w:fill="948A54" w:themeFill="background2" w:themeFillShade="80"/>
          </w:tcPr>
          <w:p w14:paraId="13AE7B68" w14:textId="77777777" w:rsidR="004922AE" w:rsidRPr="003F1101" w:rsidRDefault="004922AE" w:rsidP="004922AE">
            <w:pPr>
              <w:pStyle w:val="Default"/>
              <w:jc w:val="center"/>
              <w:rPr>
                <w:b/>
                <w:color w:val="auto"/>
                <w:sz w:val="22"/>
                <w:szCs w:val="22"/>
              </w:rPr>
            </w:pPr>
            <w:r w:rsidRPr="003F1101">
              <w:rPr>
                <w:b/>
                <w:color w:val="FFFFFF" w:themeColor="background1"/>
                <w:sz w:val="22"/>
                <w:szCs w:val="22"/>
              </w:rPr>
              <w:t xml:space="preserve">Clinical Engagement </w:t>
            </w:r>
          </w:p>
        </w:tc>
        <w:tc>
          <w:tcPr>
            <w:tcW w:w="7791" w:type="dxa"/>
          </w:tcPr>
          <w:p w14:paraId="27C10A77" w14:textId="77777777" w:rsidR="004922AE" w:rsidRPr="00E97CDA" w:rsidRDefault="004922AE" w:rsidP="004922AE">
            <w:pPr>
              <w:pStyle w:val="Default"/>
              <w:jc w:val="both"/>
              <w:rPr>
                <w:color w:val="auto"/>
                <w:sz w:val="22"/>
                <w:szCs w:val="22"/>
              </w:rPr>
            </w:pPr>
            <w:r w:rsidRPr="00E97CDA">
              <w:rPr>
                <w:color w:val="auto"/>
                <w:sz w:val="22"/>
                <w:szCs w:val="22"/>
              </w:rPr>
              <w:t>CCG Prescribing Lead, Northern Lincolnshire APC</w:t>
            </w:r>
          </w:p>
          <w:p w14:paraId="33BB4E39" w14:textId="77777777" w:rsidR="004922AE" w:rsidRPr="00E97CDA" w:rsidRDefault="004922AE" w:rsidP="004922AE">
            <w:pPr>
              <w:pStyle w:val="Default"/>
              <w:jc w:val="both"/>
              <w:rPr>
                <w:color w:val="auto"/>
                <w:sz w:val="22"/>
                <w:szCs w:val="22"/>
              </w:rPr>
            </w:pPr>
          </w:p>
        </w:tc>
      </w:tr>
      <w:tr w:rsidR="004922AE" w:rsidRPr="003F1101" w14:paraId="193FC460" w14:textId="77777777" w:rsidTr="004922AE">
        <w:trPr>
          <w:trHeight w:val="253"/>
        </w:trPr>
        <w:tc>
          <w:tcPr>
            <w:tcW w:w="1990" w:type="dxa"/>
            <w:shd w:val="clear" w:color="auto" w:fill="948A54" w:themeFill="background2" w:themeFillShade="80"/>
          </w:tcPr>
          <w:p w14:paraId="36BBC62A" w14:textId="77777777" w:rsidR="004922AE" w:rsidRPr="003F1101" w:rsidRDefault="004922AE" w:rsidP="004922AE">
            <w:pPr>
              <w:pStyle w:val="Default"/>
              <w:jc w:val="center"/>
              <w:rPr>
                <w:b/>
                <w:color w:val="FFFFFF" w:themeColor="background1"/>
                <w:sz w:val="22"/>
                <w:szCs w:val="22"/>
              </w:rPr>
            </w:pPr>
            <w:r>
              <w:rPr>
                <w:b/>
                <w:color w:val="FFFFFF" w:themeColor="background1"/>
                <w:sz w:val="22"/>
                <w:szCs w:val="22"/>
              </w:rPr>
              <w:t>Patient/Public Engagement</w:t>
            </w:r>
          </w:p>
        </w:tc>
        <w:tc>
          <w:tcPr>
            <w:tcW w:w="7791" w:type="dxa"/>
          </w:tcPr>
          <w:p w14:paraId="5CADF93F" w14:textId="77777777" w:rsidR="004922AE" w:rsidRPr="003F1101" w:rsidRDefault="004922AE" w:rsidP="004922AE">
            <w:pPr>
              <w:pStyle w:val="Default"/>
              <w:jc w:val="both"/>
              <w:rPr>
                <w:b/>
                <w:bCs/>
                <w:sz w:val="22"/>
                <w:szCs w:val="22"/>
              </w:rPr>
            </w:pPr>
          </w:p>
        </w:tc>
      </w:tr>
      <w:tr w:rsidR="004922AE" w:rsidRPr="003F1101" w14:paraId="42B7D46D" w14:textId="77777777" w:rsidTr="004922AE">
        <w:trPr>
          <w:trHeight w:val="253"/>
        </w:trPr>
        <w:tc>
          <w:tcPr>
            <w:tcW w:w="1990" w:type="dxa"/>
            <w:shd w:val="clear" w:color="auto" w:fill="948A54" w:themeFill="background2" w:themeFillShade="80"/>
          </w:tcPr>
          <w:p w14:paraId="3E5D4C39" w14:textId="77777777" w:rsidR="004922AE" w:rsidRPr="003F1101" w:rsidRDefault="004922AE" w:rsidP="004922AE">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7791" w:type="dxa"/>
          </w:tcPr>
          <w:p w14:paraId="1C420D23" w14:textId="77777777" w:rsidR="004922AE" w:rsidRDefault="004922AE" w:rsidP="004922AE">
            <w:pPr>
              <w:spacing w:before="0" w:after="0"/>
              <w:rPr>
                <w:rFonts w:ascii="Arial" w:hAnsi="Arial" w:cs="Arial"/>
              </w:rPr>
            </w:pPr>
            <w:r>
              <w:rPr>
                <w:rFonts w:ascii="Arial" w:hAnsi="Arial" w:cs="Arial"/>
              </w:rPr>
              <w:t>Northern Lincolnshire Area Prescribing Committee (NLAPC)</w:t>
            </w:r>
          </w:p>
          <w:p w14:paraId="2CFEB6CE" w14:textId="77777777" w:rsidR="004922AE" w:rsidRPr="003F1101" w:rsidRDefault="004922AE" w:rsidP="004922AE">
            <w:pPr>
              <w:pStyle w:val="Default"/>
              <w:jc w:val="both"/>
              <w:rPr>
                <w:b/>
                <w:bCs/>
                <w:sz w:val="22"/>
                <w:szCs w:val="22"/>
              </w:rPr>
            </w:pPr>
          </w:p>
        </w:tc>
      </w:tr>
    </w:tbl>
    <w:p w14:paraId="041DB9B1" w14:textId="77777777" w:rsidR="001413E1" w:rsidRDefault="001413E1" w:rsidP="001413E1">
      <w:pPr>
        <w:rPr>
          <w:rFonts w:ascii="Arial" w:hAnsi="Arial" w:cs="Arial"/>
        </w:rPr>
      </w:pPr>
    </w:p>
    <w:tbl>
      <w:tblPr>
        <w:tblStyle w:val="TableGrid"/>
        <w:tblpPr w:leftFromText="180" w:rightFromText="180" w:vertAnchor="page" w:horzAnchor="margin" w:tblpY="11909"/>
        <w:tblW w:w="0" w:type="auto"/>
        <w:tblLook w:val="04A0" w:firstRow="1" w:lastRow="0" w:firstColumn="1" w:lastColumn="0" w:noHBand="0" w:noVBand="1"/>
      </w:tblPr>
      <w:tblGrid>
        <w:gridCol w:w="1851"/>
        <w:gridCol w:w="2965"/>
        <w:gridCol w:w="509"/>
        <w:gridCol w:w="3530"/>
        <w:gridCol w:w="540"/>
      </w:tblGrid>
      <w:tr w:rsidR="004922AE" w14:paraId="03CF3172" w14:textId="77777777" w:rsidTr="004922AE">
        <w:trPr>
          <w:trHeight w:val="553"/>
        </w:trPr>
        <w:tc>
          <w:tcPr>
            <w:tcW w:w="1851" w:type="dxa"/>
            <w:shd w:val="clear" w:color="auto" w:fill="948A54" w:themeFill="background2" w:themeFillShade="80"/>
          </w:tcPr>
          <w:p w14:paraId="1A7DE1F1" w14:textId="77777777" w:rsidR="004922AE" w:rsidRPr="001712C0" w:rsidRDefault="004922AE" w:rsidP="004922AE">
            <w:pPr>
              <w:rPr>
                <w:rFonts w:ascii="Arial" w:hAnsi="Arial" w:cs="Arial"/>
              </w:rPr>
            </w:pPr>
            <w:r w:rsidRPr="001712C0">
              <w:rPr>
                <w:rFonts w:ascii="Arial" w:hAnsi="Arial" w:cs="Arial"/>
                <w:b/>
                <w:color w:val="FFFFFF" w:themeColor="background1"/>
              </w:rPr>
              <w:t>Link to CCG’s Priorities</w:t>
            </w:r>
          </w:p>
        </w:tc>
        <w:tc>
          <w:tcPr>
            <w:tcW w:w="2965" w:type="dxa"/>
          </w:tcPr>
          <w:p w14:paraId="6A519478" w14:textId="77777777" w:rsidR="004922AE" w:rsidRPr="00DE79E3" w:rsidRDefault="004922AE" w:rsidP="004922AE">
            <w:pPr>
              <w:pStyle w:val="ListParagraph"/>
              <w:numPr>
                <w:ilvl w:val="0"/>
                <w:numId w:val="13"/>
              </w:numPr>
              <w:spacing w:before="0" w:after="0"/>
              <w:rPr>
                <w:rFonts w:ascii="Arial" w:hAnsi="Arial" w:cs="Arial"/>
              </w:rPr>
            </w:pPr>
            <w:r w:rsidRPr="00DE79E3">
              <w:rPr>
                <w:rFonts w:ascii="Arial" w:hAnsi="Arial" w:cs="Arial"/>
              </w:rPr>
              <w:t>Sustainable services</w:t>
            </w:r>
          </w:p>
          <w:p w14:paraId="56B9A917" w14:textId="77777777" w:rsidR="004922AE" w:rsidRPr="00DE79E3" w:rsidRDefault="004922AE" w:rsidP="004922AE">
            <w:pPr>
              <w:pStyle w:val="ListParagraph"/>
              <w:numPr>
                <w:ilvl w:val="0"/>
                <w:numId w:val="13"/>
              </w:numPr>
              <w:spacing w:before="0" w:after="0"/>
              <w:rPr>
                <w:rFonts w:ascii="Arial" w:hAnsi="Arial" w:cs="Arial"/>
              </w:rPr>
            </w:pPr>
            <w:r w:rsidRPr="00DE79E3">
              <w:rPr>
                <w:rFonts w:ascii="Arial" w:hAnsi="Arial" w:cs="Arial"/>
              </w:rPr>
              <w:t>Empowering people</w:t>
            </w:r>
          </w:p>
        </w:tc>
        <w:tc>
          <w:tcPr>
            <w:tcW w:w="509" w:type="dxa"/>
          </w:tcPr>
          <w:sdt>
            <w:sdtPr>
              <w:rPr>
                <w:rFonts w:ascii="Arial" w:hAnsi="Arial" w:cs="Arial"/>
              </w:rPr>
              <w:id w:val="-130403509"/>
              <w14:checkbox>
                <w14:checked w14:val="1"/>
                <w14:checkedState w14:val="2612" w14:font="MS Gothic"/>
                <w14:uncheckedState w14:val="2610" w14:font="MS Gothic"/>
              </w14:checkbox>
            </w:sdtPr>
            <w:sdtEndPr/>
            <w:sdtContent>
              <w:p w14:paraId="2B98CDF8" w14:textId="77777777" w:rsidR="004922AE" w:rsidRDefault="004922AE" w:rsidP="004922AE">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20226B2D" w14:textId="77777777" w:rsidR="004922AE" w:rsidRPr="001712C0" w:rsidRDefault="004922AE" w:rsidP="004922AE">
                <w:pPr>
                  <w:rPr>
                    <w:rFonts w:ascii="Arial" w:hAnsi="Arial" w:cs="Arial"/>
                  </w:rPr>
                </w:pPr>
                <w:r>
                  <w:rPr>
                    <w:rFonts w:ascii="MS Gothic" w:eastAsia="MS Gothic" w:hAnsi="MS Gothic" w:cs="Arial" w:hint="eastAsia"/>
                  </w:rPr>
                  <w:t>☐</w:t>
                </w:r>
              </w:p>
            </w:sdtContent>
          </w:sdt>
        </w:tc>
        <w:tc>
          <w:tcPr>
            <w:tcW w:w="3530" w:type="dxa"/>
          </w:tcPr>
          <w:p w14:paraId="63766D25" w14:textId="77777777" w:rsidR="004922AE" w:rsidRPr="00DE79E3" w:rsidRDefault="004922AE" w:rsidP="004922AE">
            <w:pPr>
              <w:pStyle w:val="ListParagraph"/>
              <w:numPr>
                <w:ilvl w:val="0"/>
                <w:numId w:val="13"/>
              </w:numPr>
              <w:spacing w:before="0" w:after="0"/>
              <w:rPr>
                <w:rFonts w:ascii="Arial" w:hAnsi="Arial" w:cs="Arial"/>
              </w:rPr>
            </w:pPr>
            <w:r w:rsidRPr="00DE79E3">
              <w:rPr>
                <w:rFonts w:ascii="Arial" w:hAnsi="Arial" w:cs="Arial"/>
              </w:rPr>
              <w:t>Supporting communities</w:t>
            </w:r>
          </w:p>
          <w:p w14:paraId="51460F70" w14:textId="77777777" w:rsidR="004922AE" w:rsidRPr="00DE79E3" w:rsidRDefault="004922AE" w:rsidP="004922AE">
            <w:pPr>
              <w:pStyle w:val="ListParagraph"/>
              <w:numPr>
                <w:ilvl w:val="0"/>
                <w:numId w:val="13"/>
              </w:numPr>
              <w:spacing w:before="0" w:after="0"/>
              <w:rPr>
                <w:rFonts w:ascii="Arial" w:hAnsi="Arial" w:cs="Arial"/>
              </w:rPr>
            </w:pPr>
            <w:r w:rsidRPr="00DE79E3">
              <w:rPr>
                <w:rFonts w:ascii="Arial" w:hAnsi="Arial" w:cs="Arial"/>
              </w:rPr>
              <w:t>Fit for purpose organisation</w:t>
            </w:r>
          </w:p>
        </w:tc>
        <w:tc>
          <w:tcPr>
            <w:tcW w:w="540" w:type="dxa"/>
          </w:tcPr>
          <w:sdt>
            <w:sdtPr>
              <w:rPr>
                <w:rFonts w:ascii="Arial" w:hAnsi="Arial" w:cs="Arial"/>
              </w:rPr>
              <w:id w:val="-1556230660"/>
              <w14:checkbox>
                <w14:checked w14:val="0"/>
                <w14:checkedState w14:val="2612" w14:font="MS Gothic"/>
                <w14:uncheckedState w14:val="2610" w14:font="MS Gothic"/>
              </w14:checkbox>
            </w:sdtPr>
            <w:sdtEndPr/>
            <w:sdtContent>
              <w:p w14:paraId="07CB2437" w14:textId="77777777" w:rsidR="004922AE" w:rsidRDefault="004922AE" w:rsidP="004922AE">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1739145F" w14:textId="77777777" w:rsidR="004922AE" w:rsidRPr="001712C0" w:rsidRDefault="004922AE" w:rsidP="004922AE">
                <w:pPr>
                  <w:rPr>
                    <w:rFonts w:ascii="Arial" w:hAnsi="Arial" w:cs="Arial"/>
                  </w:rPr>
                </w:pPr>
                <w:r>
                  <w:rPr>
                    <w:rFonts w:ascii="MS Gothic" w:eastAsia="MS Gothic" w:hAnsi="MS Gothic" w:cs="Arial" w:hint="eastAsia"/>
                  </w:rPr>
                  <w:t>☒</w:t>
                </w:r>
              </w:p>
            </w:sdtContent>
          </w:sdt>
        </w:tc>
      </w:tr>
      <w:tr w:rsidR="004922AE" w14:paraId="04DD08B4" w14:textId="77777777" w:rsidTr="004922AE">
        <w:trPr>
          <w:trHeight w:val="1196"/>
        </w:trPr>
        <w:tc>
          <w:tcPr>
            <w:tcW w:w="1851" w:type="dxa"/>
            <w:shd w:val="clear" w:color="auto" w:fill="948A54" w:themeFill="background2" w:themeFillShade="80"/>
          </w:tcPr>
          <w:p w14:paraId="3EA886FB" w14:textId="77777777" w:rsidR="004922AE" w:rsidRPr="001712C0" w:rsidRDefault="004922AE" w:rsidP="004922AE">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2965" w:type="dxa"/>
          </w:tcPr>
          <w:p w14:paraId="624F173C" w14:textId="77777777" w:rsidR="004922AE" w:rsidRDefault="004922AE" w:rsidP="004922AE">
            <w:pPr>
              <w:pStyle w:val="ListParagraph"/>
              <w:numPr>
                <w:ilvl w:val="0"/>
                <w:numId w:val="13"/>
              </w:numPr>
              <w:spacing w:before="0" w:after="0"/>
              <w:rPr>
                <w:rFonts w:ascii="Arial" w:hAnsi="Arial" w:cs="Arial"/>
              </w:rPr>
            </w:pPr>
            <w:r>
              <w:rPr>
                <w:rFonts w:ascii="Arial" w:hAnsi="Arial" w:cs="Arial"/>
              </w:rPr>
              <w:t>Legal</w:t>
            </w:r>
          </w:p>
          <w:p w14:paraId="0F3B40A7" w14:textId="77777777" w:rsidR="004922AE" w:rsidRDefault="004922AE" w:rsidP="004922AE">
            <w:pPr>
              <w:pStyle w:val="ListParagraph"/>
              <w:numPr>
                <w:ilvl w:val="0"/>
                <w:numId w:val="13"/>
              </w:numPr>
              <w:spacing w:before="0" w:after="0"/>
              <w:rPr>
                <w:rFonts w:ascii="Arial" w:hAnsi="Arial" w:cs="Arial"/>
              </w:rPr>
            </w:pPr>
            <w:r>
              <w:rPr>
                <w:rFonts w:ascii="Arial" w:hAnsi="Arial" w:cs="Arial"/>
              </w:rPr>
              <w:t>Finance</w:t>
            </w:r>
          </w:p>
          <w:p w14:paraId="6F2BF0B3" w14:textId="77777777" w:rsidR="004922AE" w:rsidRDefault="004922AE" w:rsidP="004922AE">
            <w:pPr>
              <w:pStyle w:val="ListParagraph"/>
              <w:numPr>
                <w:ilvl w:val="0"/>
                <w:numId w:val="13"/>
              </w:numPr>
              <w:spacing w:before="0" w:after="0"/>
              <w:rPr>
                <w:rFonts w:ascii="Arial" w:hAnsi="Arial" w:cs="Arial"/>
              </w:rPr>
            </w:pPr>
            <w:r>
              <w:rPr>
                <w:rFonts w:ascii="Arial" w:hAnsi="Arial" w:cs="Arial"/>
              </w:rPr>
              <w:t>Quality</w:t>
            </w:r>
          </w:p>
          <w:p w14:paraId="03BDFF6A" w14:textId="77777777" w:rsidR="004922AE" w:rsidRPr="001712C0" w:rsidRDefault="004922AE" w:rsidP="004922AE">
            <w:pPr>
              <w:pStyle w:val="ListParagraph"/>
              <w:numPr>
                <w:ilvl w:val="0"/>
                <w:numId w:val="13"/>
              </w:numPr>
              <w:spacing w:before="0" w:after="0"/>
              <w:rPr>
                <w:rFonts w:ascii="Arial" w:hAnsi="Arial" w:cs="Arial"/>
              </w:rPr>
            </w:pPr>
            <w:r>
              <w:rPr>
                <w:rFonts w:ascii="Arial" w:hAnsi="Arial" w:cs="Arial"/>
              </w:rPr>
              <w:t>Equality analysis (and Due Regard Duty)</w:t>
            </w:r>
          </w:p>
        </w:tc>
        <w:tc>
          <w:tcPr>
            <w:tcW w:w="509" w:type="dxa"/>
          </w:tcPr>
          <w:sdt>
            <w:sdtPr>
              <w:rPr>
                <w:rFonts w:ascii="Arial" w:hAnsi="Arial" w:cs="Arial"/>
              </w:rPr>
              <w:id w:val="1821080845"/>
              <w14:checkbox>
                <w14:checked w14:val="0"/>
                <w14:checkedState w14:val="2612" w14:font="MS Gothic"/>
                <w14:uncheckedState w14:val="2610" w14:font="MS Gothic"/>
              </w14:checkbox>
            </w:sdtPr>
            <w:sdtEndPr/>
            <w:sdtContent>
              <w:p w14:paraId="2AFC26B4" w14:textId="77777777" w:rsidR="004922AE" w:rsidRDefault="004922AE" w:rsidP="004922AE">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26658CC7" w14:textId="77777777" w:rsidR="004922AE" w:rsidRDefault="004922AE" w:rsidP="004922AE">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20D6696A" w14:textId="77777777" w:rsidR="004922AE" w:rsidRDefault="004922AE" w:rsidP="004922AE">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5C96C70C" w14:textId="77777777" w:rsidR="004922AE" w:rsidRPr="001712C0" w:rsidRDefault="004922AE" w:rsidP="004922AE">
                <w:pPr>
                  <w:rPr>
                    <w:rFonts w:ascii="Arial" w:hAnsi="Arial" w:cs="Arial"/>
                  </w:rPr>
                </w:pPr>
                <w:r>
                  <w:rPr>
                    <w:rFonts w:ascii="MS Gothic" w:eastAsia="MS Gothic" w:hAnsi="MS Gothic" w:cs="Arial" w:hint="eastAsia"/>
                  </w:rPr>
                  <w:t>☐</w:t>
                </w:r>
              </w:p>
            </w:sdtContent>
          </w:sdt>
        </w:tc>
        <w:tc>
          <w:tcPr>
            <w:tcW w:w="3530" w:type="dxa"/>
          </w:tcPr>
          <w:p w14:paraId="1F5EF266" w14:textId="77777777" w:rsidR="004922AE" w:rsidRDefault="004922AE" w:rsidP="004922AE">
            <w:pPr>
              <w:pStyle w:val="ListParagraph"/>
              <w:numPr>
                <w:ilvl w:val="0"/>
                <w:numId w:val="13"/>
              </w:numPr>
              <w:spacing w:before="0" w:after="0"/>
              <w:rPr>
                <w:rFonts w:ascii="Arial" w:hAnsi="Arial" w:cs="Arial"/>
              </w:rPr>
            </w:pPr>
            <w:r>
              <w:rPr>
                <w:rFonts w:ascii="Arial" w:hAnsi="Arial" w:cs="Arial"/>
              </w:rPr>
              <w:t>Data protection</w:t>
            </w:r>
          </w:p>
          <w:p w14:paraId="18860122" w14:textId="77777777" w:rsidR="004922AE" w:rsidRDefault="004922AE" w:rsidP="004922AE">
            <w:pPr>
              <w:pStyle w:val="ListParagraph"/>
              <w:numPr>
                <w:ilvl w:val="0"/>
                <w:numId w:val="13"/>
              </w:numPr>
              <w:spacing w:before="0" w:after="0"/>
              <w:rPr>
                <w:rFonts w:ascii="Arial" w:hAnsi="Arial" w:cs="Arial"/>
              </w:rPr>
            </w:pPr>
            <w:r>
              <w:rPr>
                <w:rFonts w:ascii="Arial" w:hAnsi="Arial" w:cs="Arial"/>
              </w:rPr>
              <w:t>Performance</w:t>
            </w:r>
          </w:p>
          <w:p w14:paraId="67E6332A" w14:textId="77777777" w:rsidR="004922AE" w:rsidRPr="001712C0" w:rsidRDefault="004922AE" w:rsidP="004922AE">
            <w:pPr>
              <w:pStyle w:val="ListParagraph"/>
              <w:numPr>
                <w:ilvl w:val="0"/>
                <w:numId w:val="13"/>
              </w:numPr>
              <w:spacing w:before="0" w:after="0"/>
              <w:rPr>
                <w:rFonts w:ascii="Arial" w:hAnsi="Arial" w:cs="Arial"/>
              </w:rPr>
            </w:pPr>
            <w:r>
              <w:rPr>
                <w:rFonts w:ascii="Arial" w:hAnsi="Arial" w:cs="Arial"/>
              </w:rPr>
              <w:t>Other</w:t>
            </w:r>
          </w:p>
        </w:tc>
        <w:tc>
          <w:tcPr>
            <w:tcW w:w="540" w:type="dxa"/>
          </w:tcPr>
          <w:sdt>
            <w:sdtPr>
              <w:rPr>
                <w:rFonts w:ascii="Arial" w:hAnsi="Arial" w:cs="Arial"/>
              </w:rPr>
              <w:id w:val="-365675892"/>
              <w14:checkbox>
                <w14:checked w14:val="0"/>
                <w14:checkedState w14:val="2612" w14:font="MS Gothic"/>
                <w14:uncheckedState w14:val="2610" w14:font="MS Gothic"/>
              </w14:checkbox>
            </w:sdtPr>
            <w:sdtEndPr/>
            <w:sdtContent>
              <w:p w14:paraId="0545CCD8" w14:textId="77777777" w:rsidR="004922AE" w:rsidRDefault="004922AE" w:rsidP="004922AE">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61D0343D" w14:textId="77777777" w:rsidR="004922AE" w:rsidRDefault="004922AE" w:rsidP="004922AE">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0B70E3BA" w14:textId="77777777" w:rsidR="004922AE" w:rsidRPr="001712C0" w:rsidRDefault="004922AE" w:rsidP="004922AE">
                <w:pPr>
                  <w:rPr>
                    <w:rFonts w:ascii="Arial" w:hAnsi="Arial" w:cs="Arial"/>
                  </w:rPr>
                </w:pPr>
                <w:r>
                  <w:rPr>
                    <w:rFonts w:ascii="MS Gothic" w:eastAsia="MS Gothic" w:hAnsi="MS Gothic" w:cs="Arial" w:hint="eastAsia"/>
                  </w:rPr>
                  <w:t>☐</w:t>
                </w:r>
              </w:p>
            </w:sdtContent>
          </w:sdt>
        </w:tc>
      </w:tr>
    </w:tbl>
    <w:p w14:paraId="51CCDA43" w14:textId="77777777" w:rsidR="004922AE" w:rsidRDefault="004922AE" w:rsidP="001413E1">
      <w:pPr>
        <w:rPr>
          <w:rFonts w:ascii="Arial" w:hAnsi="Arial" w:cs="Arial"/>
          <w:b/>
          <w:bCs/>
        </w:rPr>
      </w:pPr>
    </w:p>
    <w:p w14:paraId="2877B01D" w14:textId="2EA3825C" w:rsidR="001413E1" w:rsidRPr="00481002" w:rsidRDefault="001413E1" w:rsidP="001413E1">
      <w:pPr>
        <w:rPr>
          <w:rFonts w:ascii="Arial" w:hAnsi="Arial" w:cs="Arial"/>
          <w:b/>
          <w:bCs/>
        </w:rPr>
      </w:pPr>
      <w:r w:rsidRPr="00481002">
        <w:rPr>
          <w:rFonts w:ascii="Arial" w:hAnsi="Arial" w:cs="Arial"/>
          <w:b/>
          <w:bCs/>
        </w:rPr>
        <w:lastRenderedPageBreak/>
        <w:t>Provide a summary of the identified risk</w:t>
      </w:r>
    </w:p>
    <w:p w14:paraId="12AC0EBF" w14:textId="77777777" w:rsidR="001413E1" w:rsidRDefault="001413E1" w:rsidP="001413E1">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9749"/>
      </w:tblGrid>
      <w:tr w:rsidR="001413E1" w14:paraId="3DEC0AE5" w14:textId="77777777" w:rsidTr="00A43AED">
        <w:trPr>
          <w:trHeight w:val="1985"/>
        </w:trPr>
        <w:tc>
          <w:tcPr>
            <w:tcW w:w="11096" w:type="dxa"/>
          </w:tcPr>
          <w:p w14:paraId="6DBE706E" w14:textId="05003BA2" w:rsidR="001413E1" w:rsidRDefault="00E97CDA" w:rsidP="00A43AED">
            <w:pPr>
              <w:rPr>
                <w:rFonts w:ascii="Arial" w:hAnsi="Arial" w:cs="Arial"/>
              </w:rPr>
            </w:pPr>
            <w:r>
              <w:rPr>
                <w:rFonts w:ascii="Arial" w:hAnsi="Arial" w:cs="Arial"/>
              </w:rPr>
              <w:t xml:space="preserve">The provision of shared care requires a shift of resources from secondary to primary care. </w:t>
            </w:r>
          </w:p>
        </w:tc>
      </w:tr>
    </w:tbl>
    <w:p w14:paraId="236AD26D" w14:textId="77777777" w:rsidR="001413E1" w:rsidRDefault="001413E1" w:rsidP="001413E1">
      <w:pPr>
        <w:rPr>
          <w:rFonts w:ascii="Arial" w:hAnsi="Arial" w:cs="Arial"/>
        </w:rPr>
      </w:pPr>
      <w:r>
        <w:rPr>
          <w:rFonts w:ascii="Arial" w:hAnsi="Arial" w:cs="Arial"/>
          <w:b/>
          <w:bCs/>
        </w:rPr>
        <w:t>Executive Summary</w:t>
      </w:r>
    </w:p>
    <w:p w14:paraId="5849FDD8" w14:textId="77777777" w:rsidR="00603736" w:rsidRDefault="00603736" w:rsidP="001413E1">
      <w:pPr>
        <w:rPr>
          <w:rFonts w:ascii="Arial" w:hAnsi="Arial" w:cs="Arial"/>
        </w:rPr>
      </w:pPr>
    </w:p>
    <w:p w14:paraId="1DD87439" w14:textId="121204AC" w:rsidR="001413E1" w:rsidRPr="00133909" w:rsidRDefault="001413E1" w:rsidP="001413E1">
      <w:pPr>
        <w:rPr>
          <w:rFonts w:ascii="Arial" w:hAnsi="Arial" w:cs="Arial"/>
        </w:rPr>
      </w:pPr>
      <w:r w:rsidRPr="00133909">
        <w:rPr>
          <w:rFonts w:ascii="Arial" w:hAnsi="Arial" w:cs="Arial"/>
        </w:rPr>
        <w:t>This paper sets out two new shared care prescribing frameworks for management o</w:t>
      </w:r>
      <w:r>
        <w:rPr>
          <w:rFonts w:ascii="Arial" w:hAnsi="Arial" w:cs="Arial"/>
        </w:rPr>
        <w:t>f</w:t>
      </w:r>
      <w:r w:rsidRPr="00133909">
        <w:rPr>
          <w:rFonts w:ascii="Arial" w:hAnsi="Arial" w:cs="Arial"/>
        </w:rPr>
        <w:t xml:space="preserve"> neurological </w:t>
      </w:r>
      <w:proofErr w:type="gramStart"/>
      <w:r w:rsidRPr="00133909">
        <w:rPr>
          <w:rFonts w:ascii="Arial" w:hAnsi="Arial" w:cs="Arial"/>
        </w:rPr>
        <w:t>conditions;</w:t>
      </w:r>
      <w:proofErr w:type="gramEnd"/>
    </w:p>
    <w:p w14:paraId="13EF61A9" w14:textId="77777777" w:rsidR="001413E1" w:rsidRPr="00133909" w:rsidRDefault="001413E1" w:rsidP="001413E1">
      <w:pPr>
        <w:pStyle w:val="Heading1"/>
        <w:numPr>
          <w:ilvl w:val="0"/>
          <w:numId w:val="4"/>
        </w:numPr>
        <w:rPr>
          <w:b w:val="0"/>
          <w:bCs/>
          <w:sz w:val="22"/>
          <w:szCs w:val="22"/>
        </w:rPr>
      </w:pPr>
      <w:r w:rsidRPr="00133909">
        <w:rPr>
          <w:b w:val="0"/>
          <w:bCs/>
          <w:sz w:val="22"/>
          <w:szCs w:val="22"/>
        </w:rPr>
        <w:t xml:space="preserve">Prescribing Framework for Modafinil for Daytime Hypersomnolence and excessive daytime sleepiness in </w:t>
      </w:r>
      <w:proofErr w:type="spellStart"/>
      <w:r w:rsidRPr="00133909">
        <w:rPr>
          <w:b w:val="0"/>
          <w:bCs/>
          <w:sz w:val="22"/>
          <w:szCs w:val="22"/>
        </w:rPr>
        <w:t>Parkinsons</w:t>
      </w:r>
      <w:proofErr w:type="spellEnd"/>
      <w:r>
        <w:rPr>
          <w:b w:val="0"/>
          <w:bCs/>
          <w:sz w:val="22"/>
          <w:szCs w:val="22"/>
        </w:rPr>
        <w:t xml:space="preserve"> disease</w:t>
      </w:r>
    </w:p>
    <w:p w14:paraId="618257A6" w14:textId="77777777" w:rsidR="001413E1" w:rsidRPr="00133909" w:rsidRDefault="001413E1" w:rsidP="001413E1">
      <w:pPr>
        <w:pStyle w:val="Heading1"/>
        <w:numPr>
          <w:ilvl w:val="0"/>
          <w:numId w:val="4"/>
        </w:numPr>
        <w:rPr>
          <w:b w:val="0"/>
          <w:bCs/>
          <w:sz w:val="22"/>
          <w:szCs w:val="22"/>
        </w:rPr>
      </w:pPr>
      <w:r w:rsidRPr="00133909">
        <w:rPr>
          <w:b w:val="0"/>
          <w:bCs/>
          <w:sz w:val="22"/>
          <w:szCs w:val="22"/>
        </w:rPr>
        <w:t xml:space="preserve">Prescribing Framework for </w:t>
      </w:r>
      <w:proofErr w:type="spellStart"/>
      <w:r w:rsidRPr="00133909">
        <w:rPr>
          <w:b w:val="0"/>
          <w:bCs/>
          <w:sz w:val="22"/>
          <w:szCs w:val="22"/>
        </w:rPr>
        <w:t>Riluzole</w:t>
      </w:r>
      <w:proofErr w:type="spellEnd"/>
      <w:r w:rsidRPr="00133909">
        <w:rPr>
          <w:b w:val="0"/>
          <w:bCs/>
          <w:sz w:val="22"/>
          <w:szCs w:val="22"/>
        </w:rPr>
        <w:t xml:space="preserve"> for treatment of motor neurone disease</w:t>
      </w:r>
    </w:p>
    <w:p w14:paraId="6069718A" w14:textId="77777777" w:rsidR="001413E1" w:rsidRPr="00133909" w:rsidRDefault="001413E1" w:rsidP="001413E1">
      <w:pPr>
        <w:rPr>
          <w:rFonts w:ascii="Arial" w:hAnsi="Arial" w:cs="Arial"/>
        </w:rPr>
      </w:pPr>
      <w:r w:rsidRPr="00133909">
        <w:rPr>
          <w:rFonts w:ascii="Arial" w:hAnsi="Arial" w:cs="Arial"/>
        </w:rPr>
        <w:t>These shared care agreements have been approved by the Northern Lincolnshire Area Prescribing Committee and the Hull and East Riding Prescribing Committee.</w:t>
      </w:r>
    </w:p>
    <w:p w14:paraId="4835AD19" w14:textId="2C2B3A2F" w:rsidR="001413E1" w:rsidRPr="007973A2" w:rsidRDefault="001413E1" w:rsidP="001413E1">
      <w:pPr>
        <w:rPr>
          <w:rFonts w:ascii="Arial" w:hAnsi="Arial" w:cs="Arial"/>
        </w:rPr>
      </w:pPr>
      <w:r w:rsidRPr="00133909">
        <w:rPr>
          <w:rFonts w:ascii="Arial" w:hAnsi="Arial" w:cs="Arial"/>
        </w:rPr>
        <w:t xml:space="preserve">Following approval by </w:t>
      </w:r>
      <w:r>
        <w:rPr>
          <w:rFonts w:ascii="Arial" w:hAnsi="Arial" w:cs="Arial"/>
        </w:rPr>
        <w:t>the committee</w:t>
      </w:r>
      <w:r w:rsidRPr="00133909">
        <w:rPr>
          <w:rFonts w:ascii="Arial" w:hAnsi="Arial" w:cs="Arial"/>
        </w:rPr>
        <w:t xml:space="preserve">, the provision will be commissioned from Primary Care in line with the developing Joint Shared Care Framework for Northern Lincolnshire. </w:t>
      </w:r>
    </w:p>
    <w:p w14:paraId="54177444" w14:textId="77777777" w:rsidR="001413E1" w:rsidRPr="00DB7724" w:rsidRDefault="001413E1" w:rsidP="001413E1">
      <w:pPr>
        <w:ind w:firstLine="720"/>
        <w:rPr>
          <w:rFonts w:ascii="Arial" w:hAnsi="Arial" w:cs="Arial"/>
        </w:rPr>
      </w:pPr>
    </w:p>
    <w:p w14:paraId="6F844800" w14:textId="40CB1326" w:rsidR="00A16B0A" w:rsidRDefault="00A16B0A">
      <w:pPr>
        <w:rPr>
          <w:rFonts w:ascii="Arial" w:hAnsi="Arial" w:cs="Arial"/>
        </w:rPr>
      </w:pPr>
    </w:p>
    <w:p w14:paraId="49AA690D" w14:textId="298D062B" w:rsidR="00A16B0A" w:rsidRDefault="00A16B0A">
      <w:pPr>
        <w:rPr>
          <w:rFonts w:ascii="Arial" w:hAnsi="Arial" w:cs="Arial"/>
        </w:rPr>
      </w:pPr>
    </w:p>
    <w:p w14:paraId="22326F6C" w14:textId="4C292A50" w:rsidR="00A16B0A" w:rsidRDefault="00A16B0A">
      <w:pPr>
        <w:rPr>
          <w:rFonts w:ascii="Arial" w:hAnsi="Arial" w:cs="Arial"/>
        </w:rPr>
      </w:pPr>
    </w:p>
    <w:p w14:paraId="624912C1" w14:textId="28617232" w:rsidR="001413E1" w:rsidRDefault="001413E1">
      <w:pPr>
        <w:rPr>
          <w:rFonts w:ascii="Arial" w:hAnsi="Arial" w:cs="Arial"/>
        </w:rPr>
      </w:pPr>
    </w:p>
    <w:p w14:paraId="3D66BA36" w14:textId="29027F7D" w:rsidR="001413E1" w:rsidRDefault="001413E1">
      <w:pPr>
        <w:rPr>
          <w:rFonts w:ascii="Arial" w:hAnsi="Arial" w:cs="Arial"/>
        </w:rPr>
      </w:pPr>
    </w:p>
    <w:p w14:paraId="5FE19807" w14:textId="6C923888" w:rsidR="001413E1" w:rsidRDefault="001413E1">
      <w:pPr>
        <w:rPr>
          <w:rFonts w:ascii="Arial" w:hAnsi="Arial" w:cs="Arial"/>
        </w:rPr>
      </w:pPr>
    </w:p>
    <w:p w14:paraId="408F9A24" w14:textId="60191DBC" w:rsidR="001413E1" w:rsidRDefault="001413E1">
      <w:pPr>
        <w:rPr>
          <w:rFonts w:ascii="Arial" w:hAnsi="Arial" w:cs="Arial"/>
        </w:rPr>
      </w:pPr>
    </w:p>
    <w:p w14:paraId="3E969A27" w14:textId="32A49060" w:rsidR="001413E1" w:rsidRDefault="001413E1">
      <w:pPr>
        <w:rPr>
          <w:rFonts w:ascii="Arial" w:hAnsi="Arial" w:cs="Arial"/>
        </w:rPr>
      </w:pPr>
    </w:p>
    <w:p w14:paraId="6E439447" w14:textId="319C6D17" w:rsidR="001413E1" w:rsidRDefault="001413E1">
      <w:pPr>
        <w:rPr>
          <w:rFonts w:ascii="Arial" w:hAnsi="Arial" w:cs="Arial"/>
        </w:rPr>
      </w:pPr>
    </w:p>
    <w:p w14:paraId="5911EA97" w14:textId="1F617787" w:rsidR="001413E1" w:rsidRDefault="001413E1">
      <w:pPr>
        <w:rPr>
          <w:rFonts w:ascii="Arial" w:hAnsi="Arial" w:cs="Arial"/>
        </w:rPr>
      </w:pPr>
    </w:p>
    <w:p w14:paraId="79333342" w14:textId="3C42542D" w:rsidR="001413E1" w:rsidRDefault="001413E1">
      <w:pPr>
        <w:rPr>
          <w:rFonts w:ascii="Arial" w:hAnsi="Arial" w:cs="Arial"/>
        </w:rPr>
      </w:pPr>
    </w:p>
    <w:p w14:paraId="57A41D16" w14:textId="4DFCAD8F" w:rsidR="001413E1" w:rsidRDefault="001413E1">
      <w:pPr>
        <w:rPr>
          <w:rFonts w:ascii="Arial" w:hAnsi="Arial" w:cs="Arial"/>
        </w:rPr>
      </w:pPr>
    </w:p>
    <w:p w14:paraId="719B153F" w14:textId="658B0AF8" w:rsidR="001413E1" w:rsidRDefault="001413E1">
      <w:pPr>
        <w:rPr>
          <w:rFonts w:ascii="Arial" w:hAnsi="Arial" w:cs="Arial"/>
        </w:rPr>
      </w:pPr>
    </w:p>
    <w:p w14:paraId="2230BA51" w14:textId="42687052" w:rsidR="001413E1" w:rsidRDefault="001413E1">
      <w:pPr>
        <w:rPr>
          <w:rFonts w:ascii="Arial" w:hAnsi="Arial" w:cs="Arial"/>
        </w:rPr>
      </w:pPr>
    </w:p>
    <w:p w14:paraId="3BA9CACA" w14:textId="7BD5686B" w:rsidR="001413E1" w:rsidRDefault="001413E1">
      <w:pPr>
        <w:rPr>
          <w:rFonts w:ascii="Arial" w:hAnsi="Arial" w:cs="Arial"/>
        </w:rPr>
      </w:pPr>
    </w:p>
    <w:p w14:paraId="4513C430" w14:textId="225A2DE5" w:rsidR="001413E1" w:rsidRDefault="001413E1">
      <w:pPr>
        <w:rPr>
          <w:rFonts w:ascii="Arial" w:hAnsi="Arial" w:cs="Arial"/>
        </w:rPr>
      </w:pPr>
    </w:p>
    <w:p w14:paraId="789F7677" w14:textId="1890AFFD" w:rsidR="001413E1" w:rsidRDefault="001413E1">
      <w:pPr>
        <w:rPr>
          <w:rFonts w:ascii="Arial" w:hAnsi="Arial" w:cs="Arial"/>
        </w:rPr>
      </w:pPr>
    </w:p>
    <w:p w14:paraId="27509B2D" w14:textId="5A5DCFBC" w:rsidR="00A16B0A" w:rsidRDefault="00A16B0A">
      <w:pPr>
        <w:rPr>
          <w:rFonts w:ascii="Arial" w:hAnsi="Arial" w:cs="Arial"/>
        </w:rPr>
      </w:pPr>
    </w:p>
    <w:p w14:paraId="04B1F523" w14:textId="2580EC1F" w:rsidR="005A49A9" w:rsidRPr="008E7656" w:rsidRDefault="005A49A9" w:rsidP="008E7656">
      <w:pPr>
        <w:pStyle w:val="Heading1"/>
        <w:rPr>
          <w:sz w:val="22"/>
          <w:szCs w:val="22"/>
        </w:rPr>
      </w:pPr>
      <w:r>
        <w:rPr>
          <w:szCs w:val="32"/>
        </w:rPr>
        <w:lastRenderedPageBreak/>
        <w:t xml:space="preserve">Prescribing Framework for </w:t>
      </w:r>
      <w:r w:rsidRPr="009A12A0">
        <w:rPr>
          <w:szCs w:val="32"/>
        </w:rPr>
        <w:t>Modafinil for Daytime Hypersomnolence</w:t>
      </w:r>
      <w:r>
        <w:rPr>
          <w:szCs w:val="32"/>
        </w:rPr>
        <w:t xml:space="preserve"> and excessive daytime sleepiness in </w:t>
      </w:r>
      <w:proofErr w:type="spellStart"/>
      <w:r>
        <w:rPr>
          <w:szCs w:val="32"/>
        </w:rPr>
        <w:t>Parkinsons</w:t>
      </w:r>
      <w:proofErr w:type="spellEnd"/>
    </w:p>
    <w:p w14:paraId="3A15E734" w14:textId="77777777" w:rsidR="005A49A9" w:rsidRDefault="005A49A9" w:rsidP="005A49A9">
      <w:pPr>
        <w:jc w:val="center"/>
        <w:rPr>
          <w:rFonts w:ascii="Arial" w:hAnsi="Arial" w:cs="Arial"/>
          <w:b/>
        </w:rPr>
      </w:pPr>
    </w:p>
    <w:p w14:paraId="20287CD8" w14:textId="18F405AE" w:rsidR="005A49A9" w:rsidRPr="008E7656" w:rsidRDefault="005A49A9" w:rsidP="008E7656">
      <w:pPr>
        <w:pStyle w:val="Heading3"/>
        <w:rPr>
          <w:rFonts w:ascii="Arial" w:hAnsi="Arial" w:cs="Arial"/>
          <w:color w:val="auto"/>
          <w:sz w:val="22"/>
          <w:szCs w:val="22"/>
        </w:rPr>
      </w:pPr>
      <w:r w:rsidRPr="008E7656">
        <w:rPr>
          <w:rFonts w:ascii="Arial" w:hAnsi="Arial" w:cs="Arial"/>
          <w:color w:val="auto"/>
          <w:sz w:val="22"/>
          <w:szCs w:val="22"/>
        </w:rPr>
        <w:t xml:space="preserve">Patients </w:t>
      </w:r>
      <w:proofErr w:type="gramStart"/>
      <w:r w:rsidRPr="008E7656">
        <w:rPr>
          <w:rFonts w:ascii="Arial" w:hAnsi="Arial" w:cs="Arial"/>
          <w:color w:val="auto"/>
          <w:sz w:val="22"/>
          <w:szCs w:val="22"/>
        </w:rPr>
        <w:t>Name:…</w:t>
      </w:r>
      <w:proofErr w:type="gramEnd"/>
      <w:r w:rsidRPr="008E7656">
        <w:rPr>
          <w:rFonts w:ascii="Arial" w:hAnsi="Arial" w:cs="Arial"/>
          <w:color w:val="auto"/>
          <w:sz w:val="22"/>
          <w:szCs w:val="22"/>
        </w:rPr>
        <w:t>……………………… Unit Number: ………………</w:t>
      </w:r>
    </w:p>
    <w:p w14:paraId="4C4A2330" w14:textId="77777777" w:rsidR="005A49A9" w:rsidRPr="008E7656" w:rsidRDefault="005A49A9" w:rsidP="005A49A9">
      <w:pPr>
        <w:rPr>
          <w:rFonts w:ascii="Arial" w:hAnsi="Arial" w:cs="Arial"/>
        </w:rPr>
      </w:pPr>
      <w:r w:rsidRPr="008E7656">
        <w:rPr>
          <w:rFonts w:ascii="Arial" w:hAnsi="Arial" w:cs="Arial"/>
        </w:rPr>
        <w:t xml:space="preserve">Patients </w:t>
      </w:r>
      <w:proofErr w:type="gramStart"/>
      <w:r w:rsidRPr="008E7656">
        <w:rPr>
          <w:rFonts w:ascii="Arial" w:hAnsi="Arial" w:cs="Arial"/>
        </w:rPr>
        <w:t>Address:…</w:t>
      </w:r>
      <w:proofErr w:type="gramEnd"/>
      <w:r w:rsidRPr="008E7656">
        <w:rPr>
          <w:rFonts w:ascii="Arial" w:hAnsi="Arial" w:cs="Arial"/>
        </w:rPr>
        <w:t>……………………(Use addressograph sticker)</w:t>
      </w:r>
    </w:p>
    <w:p w14:paraId="5334D588" w14:textId="77777777" w:rsidR="005A49A9" w:rsidRPr="008E7656" w:rsidRDefault="005A49A9" w:rsidP="005A49A9">
      <w:pPr>
        <w:rPr>
          <w:rFonts w:ascii="Arial" w:hAnsi="Arial" w:cs="Arial"/>
        </w:rPr>
      </w:pPr>
    </w:p>
    <w:p w14:paraId="0469B180" w14:textId="77777777" w:rsidR="005A49A9" w:rsidRDefault="005A49A9" w:rsidP="005A49A9">
      <w:pPr>
        <w:rPr>
          <w:rFonts w:ascii="Arial" w:hAnsi="Arial" w:cs="Arial"/>
        </w:rPr>
      </w:pPr>
    </w:p>
    <w:p w14:paraId="65CB1FB0" w14:textId="77777777" w:rsidR="005A49A9" w:rsidRDefault="005A49A9" w:rsidP="005A49A9">
      <w:pPr>
        <w:rPr>
          <w:rFonts w:ascii="Arial" w:hAnsi="Arial" w:cs="Arial"/>
        </w:rPr>
      </w:pPr>
    </w:p>
    <w:p w14:paraId="3C8B98E0" w14:textId="77777777" w:rsidR="005A49A9" w:rsidRDefault="005A49A9" w:rsidP="005A49A9">
      <w:pPr>
        <w:rPr>
          <w:rFonts w:ascii="Arial" w:hAnsi="Arial" w:cs="Arial"/>
        </w:rPr>
      </w:pPr>
    </w:p>
    <w:p w14:paraId="5F168D1E" w14:textId="4E775E3C" w:rsidR="005A49A9" w:rsidRDefault="005A49A9" w:rsidP="005A49A9">
      <w:pPr>
        <w:rPr>
          <w:rFonts w:ascii="Arial" w:hAnsi="Arial" w:cs="Arial"/>
        </w:rPr>
      </w:pPr>
      <w:proofErr w:type="gramStart"/>
      <w:r>
        <w:rPr>
          <w:rFonts w:ascii="Arial" w:hAnsi="Arial" w:cs="Arial"/>
        </w:rPr>
        <w:t>G.P’s</w:t>
      </w:r>
      <w:proofErr w:type="gramEnd"/>
      <w:r>
        <w:rPr>
          <w:rFonts w:ascii="Arial" w:hAnsi="Arial" w:cs="Arial"/>
        </w:rPr>
        <w:t xml:space="preserve"> Name:……………………………………………………….……..</w:t>
      </w:r>
    </w:p>
    <w:p w14:paraId="7F309F85" w14:textId="77777777" w:rsidR="005A49A9" w:rsidRPr="006B2077" w:rsidRDefault="005A49A9" w:rsidP="005A49A9">
      <w:pPr>
        <w:rPr>
          <w:rFonts w:ascii="Arial" w:hAnsi="Arial" w:cs="Arial"/>
          <w:b/>
          <w:bCs/>
        </w:rPr>
      </w:pPr>
    </w:p>
    <w:p w14:paraId="0764B98A" w14:textId="77777777" w:rsidR="005A49A9" w:rsidRPr="006B2077" w:rsidRDefault="005A49A9" w:rsidP="005A49A9">
      <w:pPr>
        <w:pStyle w:val="Heading2"/>
        <w:rPr>
          <w:rFonts w:ascii="Arial" w:hAnsi="Arial" w:cs="Arial"/>
          <w:b/>
          <w:bCs/>
          <w:color w:val="auto"/>
          <w:sz w:val="22"/>
          <w:szCs w:val="22"/>
        </w:rPr>
      </w:pPr>
      <w:r w:rsidRPr="006B2077">
        <w:rPr>
          <w:rFonts w:ascii="Arial" w:hAnsi="Arial" w:cs="Arial"/>
          <w:b/>
          <w:bCs/>
          <w:color w:val="auto"/>
          <w:sz w:val="22"/>
          <w:szCs w:val="22"/>
        </w:rPr>
        <w:t>Communication</w:t>
      </w:r>
    </w:p>
    <w:p w14:paraId="3E2E9F4D" w14:textId="51E6F274" w:rsidR="005A49A9" w:rsidRDefault="005A49A9" w:rsidP="005A49A9">
      <w:pPr>
        <w:rPr>
          <w:rFonts w:ascii="Arial" w:hAnsi="Arial" w:cs="Arial"/>
          <w:b/>
        </w:rPr>
      </w:pPr>
      <w:r>
        <w:rPr>
          <w:noProof/>
        </w:rPr>
        <mc:AlternateContent>
          <mc:Choice Requires="wps">
            <w:drawing>
              <wp:anchor distT="0" distB="0" distL="114300" distR="114300" simplePos="0" relativeHeight="251659264" behindDoc="0" locked="0" layoutInCell="1" allowOverlap="1" wp14:anchorId="345B6466" wp14:editId="7800F625">
                <wp:simplePos x="0" y="0"/>
                <wp:positionH relativeFrom="column">
                  <wp:posOffset>-514350</wp:posOffset>
                </wp:positionH>
                <wp:positionV relativeFrom="paragraph">
                  <wp:posOffset>114300</wp:posOffset>
                </wp:positionV>
                <wp:extent cx="6515100" cy="3276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76600"/>
                        </a:xfrm>
                        <a:prstGeom prst="rect">
                          <a:avLst/>
                        </a:prstGeom>
                        <a:solidFill>
                          <a:srgbClr val="FFFFFF"/>
                        </a:solidFill>
                        <a:ln w="9525">
                          <a:solidFill>
                            <a:srgbClr val="000000"/>
                          </a:solidFill>
                          <a:miter lim="800000"/>
                          <a:headEnd/>
                          <a:tailEnd/>
                        </a:ln>
                      </wps:spPr>
                      <wps:txbx>
                        <w:txbxContent>
                          <w:p w14:paraId="5AF43E2A" w14:textId="2C15B8ED" w:rsidR="005A49A9" w:rsidRDefault="005A49A9" w:rsidP="005A49A9">
                            <w:pPr>
                              <w:rPr>
                                <w:rFonts w:ascii="Arial" w:hAnsi="Arial" w:cs="Arial"/>
                              </w:rPr>
                            </w:pPr>
                            <w:r>
                              <w:rPr>
                                <w:rFonts w:ascii="Arial" w:hAnsi="Arial" w:cs="Arial"/>
                              </w:rPr>
                              <w:t>We agree to treat this patient within this Prescribing Framework</w:t>
                            </w:r>
                          </w:p>
                          <w:p w14:paraId="6701B356" w14:textId="77777777" w:rsidR="005A49A9" w:rsidRDefault="005A49A9" w:rsidP="005A49A9">
                            <w:pPr>
                              <w:rPr>
                                <w:rFonts w:ascii="Arial" w:hAnsi="Arial" w:cs="Arial"/>
                              </w:rPr>
                            </w:pPr>
                            <w:r>
                              <w:rPr>
                                <w:rFonts w:ascii="Arial" w:hAnsi="Arial" w:cs="Arial"/>
                              </w:rPr>
                              <w:t>Specialist Prescriber’s Name…………………………………………     Prof Reg. No. …………</w:t>
                            </w:r>
                          </w:p>
                          <w:p w14:paraId="4749E187" w14:textId="77777777" w:rsidR="005A49A9" w:rsidRDefault="005A49A9" w:rsidP="005A49A9">
                            <w:pPr>
                              <w:rPr>
                                <w:rFonts w:ascii="Arial" w:hAnsi="Arial" w:cs="Arial"/>
                              </w:rPr>
                            </w:pPr>
                          </w:p>
                          <w:p w14:paraId="785DD879" w14:textId="77777777" w:rsidR="005A49A9" w:rsidRDefault="005A49A9" w:rsidP="005A49A9">
                            <w:pPr>
                              <w:rPr>
                                <w:rFonts w:ascii="Arial" w:hAnsi="Arial" w:cs="Arial"/>
                              </w:rPr>
                            </w:pPr>
                            <w:r>
                              <w:rPr>
                                <w:rFonts w:ascii="Arial" w:hAnsi="Arial" w:cs="Arial"/>
                              </w:rPr>
                              <w:t>Specialist Prescriber’s Signature……………………………………      Date:…………………….</w:t>
                            </w:r>
                          </w:p>
                          <w:p w14:paraId="43469165" w14:textId="77777777" w:rsidR="005A49A9" w:rsidRDefault="005A49A9" w:rsidP="005A49A9">
                            <w:pPr>
                              <w:rPr>
                                <w:rFonts w:ascii="Arial" w:hAnsi="Arial" w:cs="Arial"/>
                              </w:rPr>
                            </w:pPr>
                          </w:p>
                          <w:p w14:paraId="054497DA" w14:textId="77777777" w:rsidR="005A49A9" w:rsidRDefault="005A49A9" w:rsidP="005A49A9">
                            <w:pPr>
                              <w:rPr>
                                <w:rFonts w:ascii="Arial" w:hAnsi="Arial" w:cs="Arial"/>
                                <w:i/>
                              </w:rPr>
                            </w:pPr>
                            <w:r>
                              <w:rPr>
                                <w:rFonts w:ascii="Arial" w:hAnsi="Arial" w:cs="Arial"/>
                                <w:i/>
                              </w:rPr>
                              <w:t xml:space="preserve">Where prescriber is </w:t>
                            </w:r>
                            <w:r>
                              <w:rPr>
                                <w:rFonts w:ascii="Arial" w:hAnsi="Arial" w:cs="Arial"/>
                                <w:i/>
                                <w:u w:val="single"/>
                              </w:rPr>
                              <w:t>not</w:t>
                            </w:r>
                            <w:r>
                              <w:rPr>
                                <w:rFonts w:ascii="Arial" w:hAnsi="Arial" w:cs="Arial"/>
                                <w:i/>
                              </w:rPr>
                              <w:t xml:space="preserve"> a consultant:</w:t>
                            </w:r>
                          </w:p>
                          <w:p w14:paraId="3382369A" w14:textId="77777777" w:rsidR="005A49A9" w:rsidRDefault="005A49A9" w:rsidP="005A49A9">
                            <w:pPr>
                              <w:rPr>
                                <w:rFonts w:ascii="Arial" w:hAnsi="Arial" w:cs="Arial"/>
                              </w:rPr>
                            </w:pPr>
                            <w:r>
                              <w:rPr>
                                <w:rFonts w:ascii="Arial" w:hAnsi="Arial" w:cs="Arial"/>
                              </w:rPr>
                              <w:t xml:space="preserve">Consultant’s Name: …………………………………………………       GMC No ……………….. </w:t>
                            </w:r>
                          </w:p>
                          <w:p w14:paraId="25757276" w14:textId="77777777" w:rsidR="005A49A9" w:rsidRDefault="005A49A9" w:rsidP="005A49A9">
                            <w:pPr>
                              <w:rPr>
                                <w:rFonts w:ascii="Arial" w:hAnsi="Arial" w:cs="Arial"/>
                              </w:rPr>
                            </w:pPr>
                          </w:p>
                          <w:p w14:paraId="25B4DB68" w14:textId="77777777" w:rsidR="005A49A9" w:rsidRDefault="005A49A9" w:rsidP="005A49A9">
                            <w:pPr>
                              <w:rPr>
                                <w:rFonts w:ascii="Arial" w:hAnsi="Arial" w:cs="Arial"/>
                              </w:rPr>
                            </w:pPr>
                            <w:r>
                              <w:rPr>
                                <w:rFonts w:ascii="Arial" w:hAnsi="Arial" w:cs="Arial"/>
                              </w:rPr>
                              <w:t>Consultant’s Signature ………………………….... ……………….       Date:…………………….</w:t>
                            </w:r>
                          </w:p>
                          <w:p w14:paraId="2E9719FE" w14:textId="77777777" w:rsidR="005A49A9" w:rsidRDefault="005A49A9" w:rsidP="005A49A9">
                            <w:pPr>
                              <w:rPr>
                                <w:rFonts w:ascii="Arial" w:hAnsi="Arial" w:cs="Arial"/>
                              </w:rPr>
                            </w:pPr>
                          </w:p>
                          <w:p w14:paraId="75CCF212" w14:textId="77777777" w:rsidR="005A49A9" w:rsidRDefault="005A49A9" w:rsidP="005A49A9">
                            <w:pPr>
                              <w:rPr>
                                <w:rFonts w:ascii="Arial" w:hAnsi="Arial" w:cs="Arial"/>
                              </w:rPr>
                            </w:pPr>
                            <w:r>
                              <w:rPr>
                                <w:rFonts w:ascii="Arial" w:hAnsi="Arial" w:cs="Arial"/>
                              </w:rPr>
                              <w:t>GP’s Signature:…………………………………………………………   Date:……………………..</w:t>
                            </w:r>
                          </w:p>
                          <w:p w14:paraId="526FA3B5" w14:textId="77777777" w:rsidR="005A49A9" w:rsidRDefault="005A49A9" w:rsidP="005A49A9">
                            <w:pPr>
                              <w:rPr>
                                <w:rFonts w:ascii="Arial" w:hAnsi="Arial" w:cs="Arial"/>
                              </w:rPr>
                            </w:pPr>
                          </w:p>
                          <w:p w14:paraId="1FE84AAC" w14:textId="77777777" w:rsidR="005A49A9" w:rsidRDefault="005A49A9" w:rsidP="005A49A9">
                            <w:pPr>
                              <w:rPr>
                                <w:rFonts w:ascii="Arial" w:hAnsi="Arial" w:cs="Arial"/>
                              </w:rPr>
                            </w:pPr>
                            <w:r>
                              <w:rPr>
                                <w:rFonts w:ascii="Arial" w:hAnsi="Arial" w:cs="Arial"/>
                              </w:rPr>
                              <w:t>GP’s Name (if different from listed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B6466" id="_x0000_t202" coordsize="21600,21600" o:spt="202" path="m,l,21600r21600,l21600,xe">
                <v:stroke joinstyle="miter"/>
                <v:path gradientshapeok="t" o:connecttype="rect"/>
              </v:shapetype>
              <v:shape id="Text Box 3" o:spid="_x0000_s1027" type="#_x0000_t202" style="position:absolute;margin-left:-40.5pt;margin-top:9pt;width:5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xAKwIAAFg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">
                <v:textbox>
                  <w:txbxContent>
                    <w:p w14:paraId="5AF43E2A" w14:textId="2C15B8ED" w:rsidR="005A49A9" w:rsidRDefault="005A49A9" w:rsidP="005A49A9">
                      <w:pPr>
                        <w:rPr>
                          <w:rFonts w:ascii="Arial" w:hAnsi="Arial" w:cs="Arial"/>
                        </w:rPr>
                      </w:pPr>
                      <w:r>
                        <w:rPr>
                          <w:rFonts w:ascii="Arial" w:hAnsi="Arial" w:cs="Arial"/>
                        </w:rPr>
                        <w:t>We agree to treat this patient within this Prescribing Framework</w:t>
                      </w:r>
                    </w:p>
                    <w:p w14:paraId="6701B356" w14:textId="77777777" w:rsidR="005A49A9" w:rsidRDefault="005A49A9" w:rsidP="005A49A9">
                      <w:pPr>
                        <w:rPr>
                          <w:rFonts w:ascii="Arial" w:hAnsi="Arial" w:cs="Arial"/>
                        </w:rPr>
                      </w:pPr>
                      <w:r>
                        <w:rPr>
                          <w:rFonts w:ascii="Arial" w:hAnsi="Arial" w:cs="Arial"/>
                        </w:rPr>
                        <w:t>Specialist Prescriber’s Name…………………………………………     Prof Reg. No. …………</w:t>
                      </w:r>
                    </w:p>
                    <w:p w14:paraId="4749E187" w14:textId="77777777" w:rsidR="005A49A9" w:rsidRDefault="005A49A9" w:rsidP="005A49A9">
                      <w:pPr>
                        <w:rPr>
                          <w:rFonts w:ascii="Arial" w:hAnsi="Arial" w:cs="Arial"/>
                        </w:rPr>
                      </w:pPr>
                    </w:p>
                    <w:p w14:paraId="785DD879" w14:textId="77777777" w:rsidR="005A49A9" w:rsidRDefault="005A49A9" w:rsidP="005A49A9">
                      <w:pPr>
                        <w:rPr>
                          <w:rFonts w:ascii="Arial" w:hAnsi="Arial" w:cs="Arial"/>
                        </w:rPr>
                      </w:pPr>
                      <w:r>
                        <w:rPr>
                          <w:rFonts w:ascii="Arial" w:hAnsi="Arial" w:cs="Arial"/>
                        </w:rPr>
                        <w:t>Specialist Prescriber’s Signature……………………………………      Date:…………………….</w:t>
                      </w:r>
                    </w:p>
                    <w:p w14:paraId="43469165" w14:textId="77777777" w:rsidR="005A49A9" w:rsidRDefault="005A49A9" w:rsidP="005A49A9">
                      <w:pPr>
                        <w:rPr>
                          <w:rFonts w:ascii="Arial" w:hAnsi="Arial" w:cs="Arial"/>
                        </w:rPr>
                      </w:pPr>
                    </w:p>
                    <w:p w14:paraId="054497DA" w14:textId="77777777" w:rsidR="005A49A9" w:rsidRDefault="005A49A9" w:rsidP="005A49A9">
                      <w:pPr>
                        <w:rPr>
                          <w:rFonts w:ascii="Arial" w:hAnsi="Arial" w:cs="Arial"/>
                          <w:i/>
                        </w:rPr>
                      </w:pPr>
                      <w:r>
                        <w:rPr>
                          <w:rFonts w:ascii="Arial" w:hAnsi="Arial" w:cs="Arial"/>
                          <w:i/>
                        </w:rPr>
                        <w:t xml:space="preserve">Where prescriber is </w:t>
                      </w:r>
                      <w:r>
                        <w:rPr>
                          <w:rFonts w:ascii="Arial" w:hAnsi="Arial" w:cs="Arial"/>
                          <w:i/>
                          <w:u w:val="single"/>
                        </w:rPr>
                        <w:t>not</w:t>
                      </w:r>
                      <w:r>
                        <w:rPr>
                          <w:rFonts w:ascii="Arial" w:hAnsi="Arial" w:cs="Arial"/>
                          <w:i/>
                        </w:rPr>
                        <w:t xml:space="preserve"> a consultant:</w:t>
                      </w:r>
                    </w:p>
                    <w:p w14:paraId="3382369A" w14:textId="77777777" w:rsidR="005A49A9" w:rsidRDefault="005A49A9" w:rsidP="005A49A9">
                      <w:pPr>
                        <w:rPr>
                          <w:rFonts w:ascii="Arial" w:hAnsi="Arial" w:cs="Arial"/>
                        </w:rPr>
                      </w:pPr>
                      <w:r>
                        <w:rPr>
                          <w:rFonts w:ascii="Arial" w:hAnsi="Arial" w:cs="Arial"/>
                        </w:rPr>
                        <w:t xml:space="preserve">Consultant’s Name: …………………………………………………       GMC No ……………….. </w:t>
                      </w:r>
                    </w:p>
                    <w:p w14:paraId="25757276" w14:textId="77777777" w:rsidR="005A49A9" w:rsidRDefault="005A49A9" w:rsidP="005A49A9">
                      <w:pPr>
                        <w:rPr>
                          <w:rFonts w:ascii="Arial" w:hAnsi="Arial" w:cs="Arial"/>
                        </w:rPr>
                      </w:pPr>
                    </w:p>
                    <w:p w14:paraId="25B4DB68" w14:textId="77777777" w:rsidR="005A49A9" w:rsidRDefault="005A49A9" w:rsidP="005A49A9">
                      <w:pPr>
                        <w:rPr>
                          <w:rFonts w:ascii="Arial" w:hAnsi="Arial" w:cs="Arial"/>
                        </w:rPr>
                      </w:pPr>
                      <w:r>
                        <w:rPr>
                          <w:rFonts w:ascii="Arial" w:hAnsi="Arial" w:cs="Arial"/>
                        </w:rPr>
                        <w:t>Consultant’s Signature ………………………….... ……………….       Date:…………………….</w:t>
                      </w:r>
                    </w:p>
                    <w:p w14:paraId="2E9719FE" w14:textId="77777777" w:rsidR="005A49A9" w:rsidRDefault="005A49A9" w:rsidP="005A49A9">
                      <w:pPr>
                        <w:rPr>
                          <w:rFonts w:ascii="Arial" w:hAnsi="Arial" w:cs="Arial"/>
                        </w:rPr>
                      </w:pPr>
                    </w:p>
                    <w:p w14:paraId="75CCF212" w14:textId="77777777" w:rsidR="005A49A9" w:rsidRDefault="005A49A9" w:rsidP="005A49A9">
                      <w:pPr>
                        <w:rPr>
                          <w:rFonts w:ascii="Arial" w:hAnsi="Arial" w:cs="Arial"/>
                        </w:rPr>
                      </w:pPr>
                      <w:r>
                        <w:rPr>
                          <w:rFonts w:ascii="Arial" w:hAnsi="Arial" w:cs="Arial"/>
                        </w:rPr>
                        <w:t>GP’s Signature:…………………………………………………………   Date:……………………..</w:t>
                      </w:r>
                    </w:p>
                    <w:p w14:paraId="526FA3B5" w14:textId="77777777" w:rsidR="005A49A9" w:rsidRDefault="005A49A9" w:rsidP="005A49A9">
                      <w:pPr>
                        <w:rPr>
                          <w:rFonts w:ascii="Arial" w:hAnsi="Arial" w:cs="Arial"/>
                        </w:rPr>
                      </w:pPr>
                    </w:p>
                    <w:p w14:paraId="1FE84AAC" w14:textId="77777777" w:rsidR="005A49A9" w:rsidRDefault="005A49A9" w:rsidP="005A49A9">
                      <w:pPr>
                        <w:rPr>
                          <w:rFonts w:ascii="Arial" w:hAnsi="Arial" w:cs="Arial"/>
                        </w:rPr>
                      </w:pPr>
                      <w:r>
                        <w:rPr>
                          <w:rFonts w:ascii="Arial" w:hAnsi="Arial" w:cs="Arial"/>
                        </w:rPr>
                        <w:t>GP’s Name (if different from listed above)…………………………..</w:t>
                      </w:r>
                    </w:p>
                  </w:txbxContent>
                </v:textbox>
              </v:shape>
            </w:pict>
          </mc:Fallback>
        </mc:AlternateContent>
      </w:r>
      <w:r>
        <w:rPr>
          <w:noProof/>
        </w:rPr>
        <mc:AlternateContent>
          <mc:Choice Requires="wpc">
            <w:drawing>
              <wp:inline distT="0" distB="0" distL="0" distR="0" wp14:anchorId="312773F9" wp14:editId="395BFACE">
                <wp:extent cx="6515100" cy="32004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3E5D8B" id="Canvas 2" o:spid="_x0000_s1026" editas="canvas" style="width:513pt;height:252pt;mso-position-horizontal-relative:char;mso-position-vertical-relative:line" coordsize="6515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32004;visibility:visible;mso-wrap-style:square">
                  <v:fill o:detectmouseclick="t"/>
                  <v:path o:connecttype="none"/>
                </v:shape>
                <w10:anchorlock/>
              </v:group>
            </w:pict>
          </mc:Fallback>
        </mc:AlternateContent>
      </w:r>
    </w:p>
    <w:p w14:paraId="35FACFCA" w14:textId="77777777" w:rsidR="008F5A41" w:rsidRDefault="008F5A41" w:rsidP="005A49A9">
      <w:pPr>
        <w:rPr>
          <w:rFonts w:ascii="Arial" w:hAnsi="Arial" w:cs="Arial"/>
        </w:rPr>
      </w:pPr>
    </w:p>
    <w:p w14:paraId="1DA22158" w14:textId="2B109397" w:rsidR="005A49A9" w:rsidRDefault="005A49A9" w:rsidP="005A49A9">
      <w:pPr>
        <w:rPr>
          <w:rFonts w:ascii="Arial" w:hAnsi="Arial" w:cs="Arial"/>
        </w:rPr>
      </w:pPr>
      <w:r>
        <w:rPr>
          <w:rFonts w:ascii="Arial" w:hAnsi="Arial" w:cs="Arial"/>
        </w:rPr>
        <w:t xml:space="preserve">The front page of this form should be completed by the specialist and the form sent to the patient’s general practitioner. </w:t>
      </w:r>
    </w:p>
    <w:p w14:paraId="6FE5F4AC" w14:textId="77777777" w:rsidR="005A49A9" w:rsidRDefault="005A49A9" w:rsidP="005A49A9">
      <w:pPr>
        <w:rPr>
          <w:rFonts w:ascii="Arial" w:hAnsi="Arial" w:cs="Arial"/>
        </w:rPr>
      </w:pPr>
      <w:r>
        <w:rPr>
          <w:rFonts w:ascii="Arial" w:hAnsi="Arial" w:cs="Arial"/>
        </w:rPr>
        <w:t xml:space="preserve">The patient’s GP should sign and send back to specialist, to confirm agreement to </w:t>
      </w:r>
      <w:proofErr w:type="gramStart"/>
      <w:r>
        <w:rPr>
          <w:rFonts w:ascii="Arial" w:hAnsi="Arial" w:cs="Arial"/>
        </w:rPr>
        <w:t>enter into</w:t>
      </w:r>
      <w:proofErr w:type="gramEnd"/>
      <w:r>
        <w:rPr>
          <w:rFonts w:ascii="Arial" w:hAnsi="Arial" w:cs="Arial"/>
        </w:rPr>
        <w:t xml:space="preserve"> shared care arrangement. If the General Practitioner is </w:t>
      </w:r>
      <w:r>
        <w:rPr>
          <w:rFonts w:ascii="Arial" w:hAnsi="Arial" w:cs="Arial"/>
          <w:b/>
          <w:bCs/>
          <w:u w:val="single"/>
        </w:rPr>
        <w:t>unwilling</w:t>
      </w:r>
      <w:r>
        <w:rPr>
          <w:rFonts w:ascii="Arial" w:hAnsi="Arial" w:cs="Arial"/>
        </w:rPr>
        <w:t xml:space="preserve"> to accept prescribing responsibility for the above patient the specialist should be informed within two weeks of receipt of this framework and specialist’s letter.  </w:t>
      </w:r>
    </w:p>
    <w:p w14:paraId="63E8642B" w14:textId="77777777" w:rsidR="005A49A9" w:rsidRDefault="005A49A9" w:rsidP="005A49A9">
      <w:pPr>
        <w:rPr>
          <w:rFonts w:ascii="Arial" w:hAnsi="Arial" w:cs="Arial"/>
        </w:rPr>
      </w:pPr>
      <w:r>
        <w:rPr>
          <w:rFonts w:ascii="Arial" w:hAnsi="Arial" w:cs="Arial"/>
        </w:rPr>
        <w:t xml:space="preserve"> </w:t>
      </w:r>
    </w:p>
    <w:p w14:paraId="65579EDC" w14:textId="77777777" w:rsidR="005A49A9" w:rsidRDefault="005A49A9" w:rsidP="005A49A9">
      <w:pPr>
        <w:rPr>
          <w:rFonts w:ascii="Arial" w:hAnsi="Arial" w:cs="Arial"/>
        </w:rPr>
      </w:pPr>
    </w:p>
    <w:p w14:paraId="6D764492" w14:textId="77777777" w:rsidR="005A49A9" w:rsidRPr="00EF752A" w:rsidRDefault="005A49A9" w:rsidP="005A49A9">
      <w:pPr>
        <w:rPr>
          <w:rStyle w:val="Hyperlink"/>
        </w:rPr>
      </w:pPr>
      <w:r>
        <w:rPr>
          <w:rFonts w:ascii="Arial" w:hAnsi="Arial" w:cs="Arial"/>
        </w:rPr>
        <w:t xml:space="preserve">Full copy of framework can also be found at: </w:t>
      </w:r>
      <w:r>
        <w:rPr>
          <w:rFonts w:ascii="Arial" w:hAnsi="Arial" w:cs="Arial"/>
        </w:rPr>
        <w:fldChar w:fldCharType="begin"/>
      </w:r>
      <w:r>
        <w:rPr>
          <w:rFonts w:ascii="Arial" w:hAnsi="Arial" w:cs="Arial"/>
        </w:rPr>
        <w:instrText xml:space="preserve"> HYPERLINK "http://www.hey.nhs.uk/amber.htm" </w:instrText>
      </w:r>
      <w:r>
        <w:rPr>
          <w:rFonts w:ascii="Arial" w:hAnsi="Arial" w:cs="Arial"/>
        </w:rPr>
        <w:fldChar w:fldCharType="separate"/>
      </w:r>
      <w:r w:rsidRPr="00EF752A">
        <w:rPr>
          <w:rStyle w:val="Hyperlink"/>
        </w:rPr>
        <w:t>http://www.hey.nhs.uk/amber.htm</w:t>
      </w:r>
    </w:p>
    <w:p w14:paraId="6D318F65" w14:textId="77777777" w:rsidR="005A49A9" w:rsidRDefault="005A49A9" w:rsidP="005A49A9">
      <w:pPr>
        <w:rPr>
          <w:rFonts w:ascii="Arial" w:hAnsi="Arial" w:cs="Arial"/>
        </w:rPr>
      </w:pPr>
      <w:r>
        <w:rPr>
          <w:rFonts w:ascii="Arial" w:hAnsi="Arial" w:cs="Arial"/>
        </w:rPr>
        <w:fldChar w:fldCharType="end"/>
      </w:r>
      <w:r>
        <w:rPr>
          <w:rFonts w:ascii="Arial" w:hAnsi="Arial" w:cs="Arial"/>
        </w:rPr>
        <w:br w:type="column"/>
      </w:r>
    </w:p>
    <w:p w14:paraId="2157075C" w14:textId="77777777" w:rsidR="005A49A9" w:rsidRPr="00637C6C" w:rsidRDefault="005A49A9" w:rsidP="005A49A9">
      <w:pPr>
        <w:pStyle w:val="Heading2"/>
        <w:numPr>
          <w:ilvl w:val="0"/>
          <w:numId w:val="5"/>
        </w:numPr>
        <w:tabs>
          <w:tab w:val="clear" w:pos="360"/>
        </w:tabs>
        <w:ind w:left="399"/>
        <w:rPr>
          <w:rFonts w:ascii="Arial" w:hAnsi="Arial" w:cs="Arial"/>
          <w:b/>
          <w:bCs/>
          <w:color w:val="auto"/>
          <w:sz w:val="22"/>
          <w:szCs w:val="22"/>
        </w:rPr>
      </w:pPr>
      <w:r w:rsidRPr="00637C6C">
        <w:rPr>
          <w:rFonts w:ascii="Arial" w:hAnsi="Arial" w:cs="Arial"/>
          <w:b/>
          <w:bCs/>
          <w:color w:val="auto"/>
          <w:sz w:val="22"/>
          <w:szCs w:val="22"/>
        </w:rPr>
        <w:t>Background</w:t>
      </w:r>
    </w:p>
    <w:p w14:paraId="22C21D08" w14:textId="77777777" w:rsidR="005A49A9" w:rsidRDefault="005A49A9" w:rsidP="005A49A9">
      <w:pPr>
        <w:pStyle w:val="BodyText2"/>
        <w:rPr>
          <w:color w:val="0000FF"/>
        </w:rPr>
      </w:pPr>
    </w:p>
    <w:p w14:paraId="0BE06FC3" w14:textId="77777777" w:rsidR="005A49A9" w:rsidRDefault="005A49A9" w:rsidP="005A49A9">
      <w:pPr>
        <w:pStyle w:val="BodyText2"/>
      </w:pPr>
      <w:r w:rsidRPr="00D140F6">
        <w:t>Modafinil is a non-amphetamine central nervous system stimulant which improves the level and duration of wakefulness and daytime alertness. It is licensed for treatment of daytime hypersomnolence associated with narcolepsy with or without sleep apnoea.</w:t>
      </w:r>
    </w:p>
    <w:p w14:paraId="3C2C33A1" w14:textId="77777777" w:rsidR="005A49A9" w:rsidRPr="002A7545" w:rsidRDefault="005A49A9" w:rsidP="005A49A9">
      <w:pPr>
        <w:pStyle w:val="BodyText2"/>
      </w:pPr>
      <w:r w:rsidRPr="002A7545">
        <w:t xml:space="preserve"> </w:t>
      </w:r>
    </w:p>
    <w:p w14:paraId="06C56C47" w14:textId="77777777" w:rsidR="005A49A9" w:rsidRDefault="005A49A9" w:rsidP="005A49A9">
      <w:pPr>
        <w:pStyle w:val="BodyText2"/>
        <w:rPr>
          <w:szCs w:val="22"/>
        </w:rPr>
      </w:pPr>
      <w:r>
        <w:t xml:space="preserve">These guidelines aim to provide clinicians in primary care with relevant information when prescribing modafinil.  </w:t>
      </w:r>
    </w:p>
    <w:p w14:paraId="5ED78987" w14:textId="77777777" w:rsidR="005A49A9" w:rsidRDefault="005A49A9" w:rsidP="005A49A9">
      <w:pPr>
        <w:jc w:val="both"/>
        <w:rPr>
          <w:rFonts w:ascii="Arial" w:hAnsi="Arial" w:cs="Arial"/>
        </w:rPr>
      </w:pPr>
    </w:p>
    <w:p w14:paraId="0DC3E08E" w14:textId="77777777" w:rsidR="005A49A9" w:rsidRDefault="005A49A9" w:rsidP="005A49A9">
      <w:pPr>
        <w:jc w:val="both"/>
        <w:rPr>
          <w:rFonts w:ascii="Arial" w:hAnsi="Arial" w:cs="Arial"/>
        </w:rPr>
      </w:pPr>
      <w:r>
        <w:rPr>
          <w:rFonts w:ascii="Arial" w:hAnsi="Arial" w:cs="Arial"/>
        </w:rPr>
        <w:t>The guidelines should be read in conjunction with the general guidance on prescribing matters given in EL (91) 127 “Responsibility for prescribing between hospitals and GPs”.</w:t>
      </w:r>
    </w:p>
    <w:p w14:paraId="2E8A5944" w14:textId="77777777" w:rsidR="005A49A9" w:rsidRPr="00637C6C" w:rsidRDefault="005A49A9" w:rsidP="005A49A9">
      <w:pPr>
        <w:jc w:val="both"/>
        <w:rPr>
          <w:rFonts w:ascii="Arial" w:hAnsi="Arial" w:cs="Arial"/>
          <w:b/>
          <w:bCs/>
        </w:rPr>
      </w:pPr>
    </w:p>
    <w:p w14:paraId="0C8F4997" w14:textId="77777777" w:rsidR="005A49A9" w:rsidRPr="00637C6C" w:rsidRDefault="005A49A9" w:rsidP="005A49A9">
      <w:pPr>
        <w:pStyle w:val="Heading2"/>
        <w:jc w:val="both"/>
        <w:rPr>
          <w:rFonts w:ascii="Arial" w:hAnsi="Arial" w:cs="Arial"/>
          <w:b/>
          <w:bCs/>
          <w:color w:val="auto"/>
          <w:sz w:val="22"/>
          <w:szCs w:val="22"/>
        </w:rPr>
      </w:pPr>
      <w:r w:rsidRPr="00637C6C">
        <w:rPr>
          <w:rFonts w:ascii="Arial" w:hAnsi="Arial" w:cs="Arial"/>
          <w:b/>
          <w:bCs/>
          <w:color w:val="auto"/>
          <w:sz w:val="22"/>
          <w:szCs w:val="22"/>
        </w:rPr>
        <w:t>2.  Indication</w:t>
      </w:r>
    </w:p>
    <w:p w14:paraId="7006EF0F" w14:textId="77777777" w:rsidR="005A49A9" w:rsidRDefault="005A49A9" w:rsidP="005A49A9">
      <w:pPr>
        <w:rPr>
          <w:rFonts w:ascii="Arial" w:eastAsia="Arial Unicode MS" w:hAnsi="Arial" w:cs="Arial"/>
        </w:rPr>
      </w:pPr>
      <w:r>
        <w:rPr>
          <w:rFonts w:ascii="Arial" w:hAnsi="Arial" w:cs="Arial"/>
          <w:szCs w:val="20"/>
        </w:rPr>
        <w:t xml:space="preserve">Idiopathic daytime hypersomnolence with </w:t>
      </w:r>
      <w:r w:rsidRPr="00D140F6">
        <w:rPr>
          <w:rFonts w:ascii="Arial" w:hAnsi="Arial" w:cs="Arial"/>
          <w:szCs w:val="20"/>
        </w:rPr>
        <w:t>narcolepsy with or without cataplexy</w:t>
      </w:r>
      <w:r>
        <w:rPr>
          <w:rFonts w:ascii="Arial" w:hAnsi="Arial" w:cs="Arial"/>
          <w:szCs w:val="20"/>
        </w:rPr>
        <w:t>.</w:t>
      </w:r>
      <w:r>
        <w:rPr>
          <w:rFonts w:ascii="Arial" w:eastAsia="Arial Unicode MS" w:hAnsi="Arial" w:cs="Arial"/>
        </w:rPr>
        <w:t xml:space="preserve"> </w:t>
      </w:r>
    </w:p>
    <w:p w14:paraId="550DFE0C" w14:textId="77777777" w:rsidR="005A49A9" w:rsidRDefault="005A49A9" w:rsidP="005A49A9">
      <w:pPr>
        <w:pStyle w:val="Default"/>
        <w:rPr>
          <w:sz w:val="23"/>
          <w:szCs w:val="23"/>
        </w:rPr>
      </w:pPr>
      <w:r>
        <w:rPr>
          <w:sz w:val="23"/>
          <w:szCs w:val="23"/>
        </w:rPr>
        <w:t xml:space="preserve">Excessive daytime sleepiness associated with Parkinson’s disease (PD) where a detailed sleep history has excluded reversible pharmacological and physical causes (NICE NG71 July 2017). Unlicensed indication for a licensed drug. </w:t>
      </w:r>
    </w:p>
    <w:p w14:paraId="14D7E5E8" w14:textId="77777777" w:rsidR="005A49A9" w:rsidRDefault="005A49A9" w:rsidP="005A49A9">
      <w:pPr>
        <w:rPr>
          <w:rFonts w:ascii="Arial" w:eastAsia="Arial Unicode MS" w:hAnsi="Arial" w:cs="Arial"/>
        </w:rPr>
      </w:pPr>
    </w:p>
    <w:p w14:paraId="399BBD10" w14:textId="77777777" w:rsidR="005A49A9" w:rsidRPr="00D34149" w:rsidRDefault="005A49A9" w:rsidP="005A49A9">
      <w:pPr>
        <w:rPr>
          <w:rFonts w:ascii="Arial" w:eastAsia="Arial Unicode MS" w:hAnsi="Arial" w:cs="Arial"/>
          <w:color w:val="FF0000"/>
        </w:rPr>
      </w:pPr>
      <w:r w:rsidRPr="00D34149">
        <w:rPr>
          <w:rFonts w:ascii="Arial" w:eastAsia="Arial Unicode MS" w:hAnsi="Arial" w:cs="Arial"/>
          <w:color w:val="FF0000"/>
        </w:rPr>
        <w:t>Other unlicensed indications remain RED.</w:t>
      </w:r>
    </w:p>
    <w:p w14:paraId="26B0E91A" w14:textId="77777777" w:rsidR="005A49A9" w:rsidRPr="00D140F6" w:rsidRDefault="005A49A9" w:rsidP="005A49A9">
      <w:pPr>
        <w:rPr>
          <w:rFonts w:ascii="Arial" w:eastAsia="Arial Unicode MS" w:hAnsi="Arial" w:cs="Arial"/>
        </w:rPr>
      </w:pPr>
    </w:p>
    <w:p w14:paraId="6BEB5F90" w14:textId="77777777" w:rsidR="005A49A9" w:rsidRPr="00D140F6" w:rsidRDefault="005A49A9" w:rsidP="005A49A9">
      <w:pPr>
        <w:numPr>
          <w:ilvl w:val="0"/>
          <w:numId w:val="6"/>
        </w:numPr>
        <w:spacing w:before="0" w:after="0"/>
        <w:jc w:val="both"/>
        <w:rPr>
          <w:rFonts w:ascii="Arial" w:hAnsi="Arial" w:cs="Arial"/>
          <w:b/>
          <w:bCs/>
        </w:rPr>
      </w:pPr>
      <w:r w:rsidRPr="00D140F6">
        <w:rPr>
          <w:rFonts w:ascii="Arial" w:hAnsi="Arial" w:cs="Arial"/>
          <w:b/>
          <w:bCs/>
        </w:rPr>
        <w:t>Dose</w:t>
      </w:r>
    </w:p>
    <w:p w14:paraId="76D32026" w14:textId="6817D450" w:rsidR="005A49A9" w:rsidRPr="00D140F6" w:rsidRDefault="005A49A9" w:rsidP="005A49A9">
      <w:pPr>
        <w:jc w:val="both"/>
        <w:rPr>
          <w:rFonts w:ascii="Arial" w:hAnsi="Arial" w:cs="Arial"/>
          <w:bCs/>
        </w:rPr>
      </w:pPr>
      <w:r w:rsidRPr="00D140F6">
        <w:rPr>
          <w:rFonts w:ascii="Arial" w:hAnsi="Arial" w:cs="Arial"/>
          <w:bCs/>
        </w:rPr>
        <w:t>Initially 100mg daily increased to 400mg daily, as advised by specialist.</w:t>
      </w:r>
    </w:p>
    <w:p w14:paraId="432BF717" w14:textId="7770D71A" w:rsidR="005A49A9" w:rsidRPr="00D140F6" w:rsidRDefault="005A49A9" w:rsidP="005A49A9">
      <w:pPr>
        <w:jc w:val="both"/>
        <w:rPr>
          <w:rFonts w:ascii="Arial" w:hAnsi="Arial" w:cs="Arial"/>
          <w:bCs/>
        </w:rPr>
      </w:pPr>
      <w:r w:rsidRPr="00D140F6">
        <w:rPr>
          <w:rFonts w:ascii="Arial" w:hAnsi="Arial" w:cs="Arial"/>
          <w:bCs/>
        </w:rPr>
        <w:t>Can be taken as single daily dose or more commonly taken in 2 divided doses, in the morning and at noon.</w:t>
      </w:r>
    </w:p>
    <w:p w14:paraId="08B3016E" w14:textId="77777777" w:rsidR="005A49A9" w:rsidRPr="00D140F6" w:rsidRDefault="005A49A9" w:rsidP="005A49A9">
      <w:pPr>
        <w:jc w:val="both"/>
        <w:rPr>
          <w:rFonts w:ascii="Arial" w:hAnsi="Arial" w:cs="Arial"/>
          <w:bCs/>
        </w:rPr>
      </w:pPr>
      <w:r w:rsidRPr="00D140F6">
        <w:rPr>
          <w:rFonts w:ascii="Arial" w:hAnsi="Arial" w:cs="Arial"/>
          <w:bCs/>
        </w:rPr>
        <w:t>(Dose should be halved in patients with severe renal or hepatic impairment.)</w:t>
      </w:r>
    </w:p>
    <w:p w14:paraId="03D5438E" w14:textId="77777777" w:rsidR="005A49A9" w:rsidRPr="00D140F6" w:rsidRDefault="005A49A9" w:rsidP="005A49A9">
      <w:pPr>
        <w:jc w:val="both"/>
        <w:rPr>
          <w:rFonts w:ascii="Arial" w:hAnsi="Arial" w:cs="Arial"/>
        </w:rPr>
      </w:pPr>
    </w:p>
    <w:p w14:paraId="278D4FF7" w14:textId="77777777" w:rsidR="005A49A9" w:rsidRPr="00D140F6" w:rsidRDefault="005A49A9" w:rsidP="005A49A9">
      <w:pPr>
        <w:numPr>
          <w:ilvl w:val="0"/>
          <w:numId w:val="6"/>
        </w:numPr>
        <w:spacing w:before="0" w:after="0"/>
        <w:jc w:val="both"/>
        <w:rPr>
          <w:rFonts w:ascii="Arial" w:hAnsi="Arial" w:cs="Arial"/>
          <w:b/>
          <w:bCs/>
        </w:rPr>
      </w:pPr>
      <w:r w:rsidRPr="00D140F6">
        <w:rPr>
          <w:rFonts w:ascii="Arial" w:hAnsi="Arial" w:cs="Arial"/>
          <w:b/>
          <w:bCs/>
        </w:rPr>
        <w:t>Duration of treatment</w:t>
      </w:r>
    </w:p>
    <w:p w14:paraId="7341851A" w14:textId="77777777" w:rsidR="005A49A9" w:rsidRPr="00D140F6" w:rsidRDefault="005A49A9" w:rsidP="005A49A9">
      <w:pPr>
        <w:jc w:val="both"/>
        <w:rPr>
          <w:rFonts w:ascii="Arial" w:hAnsi="Arial" w:cs="Arial"/>
        </w:rPr>
      </w:pPr>
      <w:r w:rsidRPr="00D140F6">
        <w:rPr>
          <w:rFonts w:ascii="Arial" w:hAnsi="Arial" w:cs="Arial"/>
        </w:rPr>
        <w:t xml:space="preserve">May be </w:t>
      </w:r>
      <w:proofErr w:type="gramStart"/>
      <w:r w:rsidRPr="00D140F6">
        <w:rPr>
          <w:rFonts w:ascii="Arial" w:hAnsi="Arial" w:cs="Arial"/>
        </w:rPr>
        <w:t>long term</w:t>
      </w:r>
      <w:proofErr w:type="gramEnd"/>
      <w:r w:rsidRPr="00D140F6">
        <w:rPr>
          <w:rFonts w:ascii="Arial" w:hAnsi="Arial" w:cs="Arial"/>
        </w:rPr>
        <w:t xml:space="preserve"> depending on patient response.</w:t>
      </w:r>
    </w:p>
    <w:p w14:paraId="339C3680" w14:textId="77777777" w:rsidR="005A49A9" w:rsidRPr="00D140F6" w:rsidRDefault="005A49A9" w:rsidP="005A49A9">
      <w:pPr>
        <w:jc w:val="both"/>
        <w:rPr>
          <w:rFonts w:ascii="Arial" w:hAnsi="Arial" w:cs="Arial"/>
        </w:rPr>
      </w:pPr>
    </w:p>
    <w:p w14:paraId="0AE39050" w14:textId="77777777" w:rsidR="005A49A9" w:rsidRPr="00637C6C" w:rsidRDefault="005A49A9" w:rsidP="005A49A9">
      <w:pPr>
        <w:pStyle w:val="Heading2"/>
        <w:numPr>
          <w:ilvl w:val="0"/>
          <w:numId w:val="7"/>
        </w:numPr>
        <w:jc w:val="both"/>
        <w:rPr>
          <w:rFonts w:ascii="Arial" w:hAnsi="Arial" w:cs="Arial"/>
          <w:b/>
          <w:bCs/>
          <w:color w:val="auto"/>
          <w:sz w:val="22"/>
        </w:rPr>
      </w:pPr>
      <w:r w:rsidRPr="00637C6C">
        <w:rPr>
          <w:rFonts w:ascii="Arial" w:hAnsi="Arial" w:cs="Arial"/>
          <w:b/>
          <w:bCs/>
          <w:color w:val="auto"/>
          <w:sz w:val="22"/>
        </w:rPr>
        <w:t>Contraindications and cautions</w:t>
      </w:r>
    </w:p>
    <w:p w14:paraId="57240F4C" w14:textId="77777777" w:rsidR="005A49A9" w:rsidRPr="00D140F6" w:rsidRDefault="005A49A9" w:rsidP="005A49A9">
      <w:pPr>
        <w:pStyle w:val="caj1"/>
        <w:rPr>
          <w:rFonts w:ascii="Arial" w:hAnsi="Arial" w:cs="Arial"/>
          <w:color w:val="333333"/>
          <w:sz w:val="22"/>
          <w:szCs w:val="22"/>
          <w:lang w:val="en"/>
        </w:rPr>
      </w:pPr>
      <w:r w:rsidRPr="00D140F6">
        <w:rPr>
          <w:rFonts w:ascii="Arial" w:hAnsi="Arial" w:cs="Arial"/>
          <w:sz w:val="22"/>
          <w:szCs w:val="22"/>
        </w:rPr>
        <w:t xml:space="preserve">Modafinil is contraindicated in patients with uncontrolled moderate to severe hypertension, or arrhythmia, </w:t>
      </w:r>
      <w:r w:rsidRPr="00D140F6">
        <w:rPr>
          <w:rFonts w:ascii="Arial" w:hAnsi="Arial" w:cs="Arial"/>
          <w:color w:val="333333"/>
          <w:sz w:val="22"/>
          <w:szCs w:val="22"/>
          <w:lang w:val="en"/>
        </w:rPr>
        <w:t xml:space="preserve">history of left ventricular hypertrophy, </w:t>
      </w:r>
      <w:proofErr w:type="spellStart"/>
      <w:r w:rsidRPr="00D140F6">
        <w:rPr>
          <w:rFonts w:ascii="Arial" w:hAnsi="Arial" w:cs="Arial"/>
          <w:color w:val="333333"/>
          <w:sz w:val="22"/>
          <w:szCs w:val="22"/>
          <w:lang w:val="en"/>
        </w:rPr>
        <w:t>cor</w:t>
      </w:r>
      <w:proofErr w:type="spellEnd"/>
      <w:r w:rsidRPr="00D140F6">
        <w:rPr>
          <w:rFonts w:ascii="Arial" w:hAnsi="Arial" w:cs="Arial"/>
          <w:color w:val="333333"/>
          <w:sz w:val="22"/>
          <w:szCs w:val="22"/>
          <w:lang w:val="en"/>
        </w:rPr>
        <w:t xml:space="preserve"> pulmonale, or of clinically significant signs of CNS stimulant-induced mitral valve prolapse (including </w:t>
      </w:r>
      <w:proofErr w:type="spellStart"/>
      <w:r w:rsidRPr="00D140F6">
        <w:rPr>
          <w:rFonts w:ascii="Arial" w:hAnsi="Arial" w:cs="Arial"/>
          <w:color w:val="333333"/>
          <w:sz w:val="22"/>
          <w:szCs w:val="22"/>
          <w:lang w:val="en"/>
        </w:rPr>
        <w:t>ischaemic</w:t>
      </w:r>
      <w:proofErr w:type="spellEnd"/>
      <w:r w:rsidRPr="00D140F6">
        <w:rPr>
          <w:rFonts w:ascii="Arial" w:hAnsi="Arial" w:cs="Arial"/>
          <w:color w:val="333333"/>
          <w:sz w:val="22"/>
          <w:szCs w:val="22"/>
          <w:lang w:val="en"/>
        </w:rPr>
        <w:t xml:space="preserve"> ECG changes, chest pain and arrhythmias).</w:t>
      </w:r>
    </w:p>
    <w:p w14:paraId="1D6BC654" w14:textId="77777777" w:rsidR="005A49A9" w:rsidRPr="00D140F6" w:rsidRDefault="005A49A9" w:rsidP="005A49A9">
      <w:pPr>
        <w:rPr>
          <w:rFonts w:ascii="Arial" w:hAnsi="Arial" w:cs="Arial"/>
        </w:rPr>
      </w:pPr>
      <w:r w:rsidRPr="00D140F6">
        <w:rPr>
          <w:rFonts w:ascii="Arial" w:hAnsi="Arial" w:cs="Arial"/>
        </w:rPr>
        <w:t>Also contraindicated during pregnancy and lactation.</w:t>
      </w:r>
    </w:p>
    <w:p w14:paraId="4AA457B0" w14:textId="77777777" w:rsidR="005A49A9" w:rsidRPr="00D140F6" w:rsidRDefault="005A49A9" w:rsidP="005A49A9">
      <w:pPr>
        <w:rPr>
          <w:rFonts w:ascii="Arial" w:hAnsi="Arial" w:cs="Arial"/>
        </w:rPr>
      </w:pPr>
    </w:p>
    <w:p w14:paraId="1DC4C63E" w14:textId="77777777" w:rsidR="005A49A9" w:rsidRDefault="005A49A9" w:rsidP="005A49A9">
      <w:pPr>
        <w:rPr>
          <w:rFonts w:ascii="Arial" w:hAnsi="Arial" w:cs="Arial"/>
          <w:color w:val="333333"/>
          <w:lang w:val="en"/>
        </w:rPr>
      </w:pPr>
      <w:r w:rsidRPr="00D140F6">
        <w:rPr>
          <w:rFonts w:ascii="Arial" w:hAnsi="Arial" w:cs="Arial"/>
          <w:color w:val="333333"/>
          <w:lang w:val="en"/>
        </w:rPr>
        <w:t xml:space="preserve">Use with caution in patients with history of psychosis, </w:t>
      </w:r>
      <w:r>
        <w:rPr>
          <w:rFonts w:ascii="Arial" w:hAnsi="Arial" w:cs="Arial"/>
          <w:color w:val="333333"/>
          <w:lang w:val="en"/>
        </w:rPr>
        <w:t xml:space="preserve">anxiety, </w:t>
      </w:r>
      <w:r w:rsidRPr="00D140F6">
        <w:rPr>
          <w:rFonts w:ascii="Arial" w:hAnsi="Arial" w:cs="Arial"/>
          <w:color w:val="333333"/>
          <w:lang w:val="en"/>
        </w:rPr>
        <w:t xml:space="preserve">depression, mania, </w:t>
      </w:r>
      <w:r>
        <w:rPr>
          <w:rFonts w:ascii="Arial" w:hAnsi="Arial" w:cs="Arial"/>
          <w:color w:val="333333"/>
          <w:lang w:val="en"/>
        </w:rPr>
        <w:t xml:space="preserve">bipolar disorder, </w:t>
      </w:r>
      <w:proofErr w:type="gramStart"/>
      <w:r w:rsidRPr="00D140F6">
        <w:rPr>
          <w:rFonts w:ascii="Arial" w:hAnsi="Arial" w:cs="Arial"/>
          <w:color w:val="333333"/>
          <w:lang w:val="en"/>
        </w:rPr>
        <w:t>alcohol</w:t>
      </w:r>
      <w:proofErr w:type="gramEnd"/>
      <w:r w:rsidRPr="00D140F6">
        <w:rPr>
          <w:rFonts w:ascii="Arial" w:hAnsi="Arial" w:cs="Arial"/>
          <w:color w:val="333333"/>
          <w:lang w:val="en"/>
        </w:rPr>
        <w:t xml:space="preserve"> or drug abuse. Discontinue treatment if psychiatric symptoms develop, possibility of dependence or if rash develops.</w:t>
      </w:r>
    </w:p>
    <w:p w14:paraId="20F6010E" w14:textId="77777777" w:rsidR="005A49A9" w:rsidRPr="002A4FA3" w:rsidRDefault="005A49A9" w:rsidP="005A49A9">
      <w:pPr>
        <w:rPr>
          <w:rFonts w:ascii="Arial" w:hAnsi="Arial" w:cs="Arial"/>
        </w:rPr>
      </w:pPr>
    </w:p>
    <w:p w14:paraId="18934956" w14:textId="77777777" w:rsidR="005A49A9" w:rsidRDefault="005A49A9" w:rsidP="005A49A9">
      <w:pPr>
        <w:numPr>
          <w:ilvl w:val="0"/>
          <w:numId w:val="7"/>
        </w:numPr>
        <w:spacing w:before="0" w:after="0"/>
        <w:jc w:val="both"/>
        <w:rPr>
          <w:rFonts w:ascii="Arial" w:hAnsi="Arial" w:cs="Arial"/>
          <w:b/>
          <w:bCs/>
        </w:rPr>
      </w:pPr>
      <w:r>
        <w:rPr>
          <w:rFonts w:ascii="Arial" w:hAnsi="Arial" w:cs="Arial"/>
          <w:b/>
          <w:bCs/>
        </w:rPr>
        <w:t>Adverse effects</w:t>
      </w:r>
    </w:p>
    <w:p w14:paraId="65711426" w14:textId="77777777" w:rsidR="005A49A9" w:rsidRDefault="005A49A9" w:rsidP="005A49A9">
      <w:pPr>
        <w:jc w:val="both"/>
        <w:rPr>
          <w:rFonts w:ascii="Arial" w:hAnsi="Arial" w:cs="Arial"/>
        </w:rPr>
      </w:pPr>
    </w:p>
    <w:p w14:paraId="3E1EE094" w14:textId="77777777" w:rsidR="005A49A9" w:rsidRPr="00792011" w:rsidRDefault="005A49A9" w:rsidP="005A49A9">
      <w:pPr>
        <w:pStyle w:val="Default"/>
        <w:jc w:val="both"/>
        <w:rPr>
          <w:sz w:val="22"/>
          <w:szCs w:val="22"/>
        </w:rPr>
      </w:pPr>
      <w:r w:rsidRPr="00792011">
        <w:rPr>
          <w:b/>
          <w:bCs/>
          <w:sz w:val="22"/>
          <w:szCs w:val="22"/>
        </w:rPr>
        <w:lastRenderedPageBreak/>
        <w:t xml:space="preserve">Cardiovascular: </w:t>
      </w:r>
      <w:r w:rsidRPr="00792011">
        <w:rPr>
          <w:sz w:val="22"/>
          <w:szCs w:val="22"/>
        </w:rPr>
        <w:t xml:space="preserve">Tachycardia, hypertension, palpitations. An ECG is recommended in all patients before modafinil treatment is initiated. Blood pressure and heart rate should be regularly monitored (see “Disease and drug monitoring” below). </w:t>
      </w:r>
      <w:r w:rsidRPr="00792011">
        <w:rPr>
          <w:b/>
          <w:bCs/>
          <w:sz w:val="22"/>
          <w:szCs w:val="22"/>
        </w:rPr>
        <w:t xml:space="preserve">Modafinil should be discontinued in patients who develop arrhythmia or moderate to severe hypertension and not restarted until the condition has been adequately evaluated and treated. </w:t>
      </w:r>
      <w:r>
        <w:rPr>
          <w:sz w:val="22"/>
          <w:szCs w:val="22"/>
        </w:rPr>
        <w:t xml:space="preserve"> For hypertension refer to NICE NG136 [August 2019], Hypertension in adults – diagnosis and management.  Up to 2% of patients can suffer from palpitations or tachycardia (pulse rate &gt;100 BPM).    </w:t>
      </w:r>
    </w:p>
    <w:p w14:paraId="419A6163" w14:textId="77777777" w:rsidR="005A49A9" w:rsidRPr="00792011" w:rsidRDefault="005A49A9" w:rsidP="005A49A9">
      <w:pPr>
        <w:pStyle w:val="Default"/>
        <w:jc w:val="both"/>
        <w:rPr>
          <w:b/>
          <w:bCs/>
          <w:sz w:val="22"/>
          <w:szCs w:val="22"/>
        </w:rPr>
      </w:pPr>
    </w:p>
    <w:p w14:paraId="5A96E1B7" w14:textId="77777777" w:rsidR="005A49A9" w:rsidRPr="00792011" w:rsidRDefault="005A49A9" w:rsidP="005A49A9">
      <w:pPr>
        <w:pStyle w:val="Default"/>
        <w:jc w:val="both"/>
        <w:rPr>
          <w:sz w:val="22"/>
          <w:szCs w:val="22"/>
        </w:rPr>
      </w:pPr>
      <w:r w:rsidRPr="00792011">
        <w:rPr>
          <w:b/>
          <w:bCs/>
          <w:sz w:val="22"/>
          <w:szCs w:val="22"/>
        </w:rPr>
        <w:t>Gastrointestinal</w:t>
      </w:r>
      <w:r w:rsidRPr="00792011">
        <w:rPr>
          <w:sz w:val="22"/>
          <w:szCs w:val="22"/>
        </w:rPr>
        <w:t xml:space="preserve">: GI disturbances </w:t>
      </w:r>
      <w:proofErr w:type="gramStart"/>
      <w:r w:rsidRPr="00792011">
        <w:rPr>
          <w:sz w:val="22"/>
          <w:szCs w:val="22"/>
        </w:rPr>
        <w:t>e.g.</w:t>
      </w:r>
      <w:proofErr w:type="gramEnd"/>
      <w:r w:rsidRPr="00792011">
        <w:rPr>
          <w:sz w:val="22"/>
          <w:szCs w:val="22"/>
        </w:rPr>
        <w:t xml:space="preserve"> reduced appetite, nausea, gastric discomfort – minimise by taking dose with food. Diarrhoea, </w:t>
      </w:r>
      <w:proofErr w:type="gramStart"/>
      <w:r w:rsidRPr="00792011">
        <w:rPr>
          <w:sz w:val="22"/>
          <w:szCs w:val="22"/>
        </w:rPr>
        <w:t>constipation</w:t>
      </w:r>
      <w:proofErr w:type="gramEnd"/>
      <w:r w:rsidRPr="00792011">
        <w:rPr>
          <w:sz w:val="22"/>
          <w:szCs w:val="22"/>
        </w:rPr>
        <w:t xml:space="preserve"> and dry mouth. </w:t>
      </w:r>
    </w:p>
    <w:p w14:paraId="695DFFA5" w14:textId="77777777" w:rsidR="005A49A9" w:rsidRPr="00792011" w:rsidRDefault="005A49A9" w:rsidP="005A49A9">
      <w:pPr>
        <w:jc w:val="both"/>
        <w:rPr>
          <w:rFonts w:ascii="Arial" w:hAnsi="Arial" w:cs="Arial"/>
          <w:b/>
          <w:bCs/>
        </w:rPr>
      </w:pPr>
    </w:p>
    <w:p w14:paraId="562558CC" w14:textId="77777777" w:rsidR="005A49A9" w:rsidRPr="00792011" w:rsidRDefault="005A49A9" w:rsidP="005A49A9">
      <w:pPr>
        <w:jc w:val="both"/>
        <w:rPr>
          <w:rFonts w:ascii="Arial" w:hAnsi="Arial" w:cs="Arial"/>
          <w:bCs/>
        </w:rPr>
      </w:pPr>
      <w:r w:rsidRPr="00792011">
        <w:rPr>
          <w:rFonts w:ascii="Arial" w:hAnsi="Arial" w:cs="Arial"/>
          <w:b/>
          <w:bCs/>
        </w:rPr>
        <w:t>Hepatic</w:t>
      </w:r>
      <w:r w:rsidRPr="00792011">
        <w:rPr>
          <w:rFonts w:ascii="Arial" w:hAnsi="Arial" w:cs="Arial"/>
        </w:rPr>
        <w:t>: Dose related increase in al</w:t>
      </w:r>
      <w:r>
        <w:rPr>
          <w:rFonts w:ascii="Arial" w:hAnsi="Arial" w:cs="Arial"/>
        </w:rPr>
        <w:t xml:space="preserve">kaline phosphatase and gamma GT.  </w:t>
      </w:r>
      <w:r w:rsidRPr="00477052">
        <w:rPr>
          <w:rFonts w:ascii="Arial" w:hAnsi="Arial" w:cs="Arial"/>
        </w:rPr>
        <w:t>Deranged LFTs have been reported (incidence 1-10%). Monitor LFTs if there are signs of hepatotoxicity. Dose related increases in alkaline phosphatase and gamma glutamyl transferase have been observed. If levels &gt;3 times the upper limit of normal occurs, the specialist should be contacted</w:t>
      </w:r>
      <w:r>
        <w:rPr>
          <w:rFonts w:ascii="Arial" w:hAnsi="Arial" w:cs="Arial"/>
        </w:rPr>
        <w:t xml:space="preserve"> via Advice and Guidance.  </w:t>
      </w:r>
      <w:r w:rsidRPr="00477052">
        <w:rPr>
          <w:rFonts w:ascii="Arial" w:hAnsi="Arial" w:cs="Arial"/>
          <w:b/>
        </w:rPr>
        <w:t>If levels &gt;5 times the upper limit of normal the specialist urgently and discontinue treatment.</w:t>
      </w:r>
      <w:r>
        <w:rPr>
          <w:rFonts w:ascii="Arial" w:hAnsi="Arial" w:cs="Arial"/>
        </w:rPr>
        <w:t xml:space="preserve">  </w:t>
      </w:r>
    </w:p>
    <w:p w14:paraId="71CC6D9D" w14:textId="77777777" w:rsidR="005A49A9" w:rsidRPr="00792011" w:rsidRDefault="005A49A9" w:rsidP="005A49A9">
      <w:pPr>
        <w:pStyle w:val="Default"/>
        <w:jc w:val="both"/>
        <w:rPr>
          <w:sz w:val="22"/>
          <w:szCs w:val="22"/>
        </w:rPr>
      </w:pPr>
      <w:r w:rsidRPr="00792011">
        <w:rPr>
          <w:b/>
          <w:bCs/>
          <w:sz w:val="22"/>
          <w:szCs w:val="22"/>
        </w:rPr>
        <w:t xml:space="preserve">Skin reactions: </w:t>
      </w:r>
      <w:r w:rsidRPr="00792011">
        <w:rPr>
          <w:sz w:val="22"/>
          <w:szCs w:val="22"/>
        </w:rPr>
        <w:t xml:space="preserve">Serious rashes (including Stevens - Johnson syndrome, </w:t>
      </w:r>
    </w:p>
    <w:p w14:paraId="4A960244" w14:textId="77777777" w:rsidR="005A49A9" w:rsidRPr="00792011" w:rsidRDefault="005A49A9" w:rsidP="005A49A9">
      <w:pPr>
        <w:pStyle w:val="Default"/>
        <w:jc w:val="both"/>
        <w:rPr>
          <w:sz w:val="22"/>
          <w:szCs w:val="22"/>
        </w:rPr>
      </w:pPr>
      <w:r w:rsidRPr="00792011">
        <w:rPr>
          <w:sz w:val="22"/>
          <w:szCs w:val="22"/>
        </w:rPr>
        <w:t xml:space="preserve">Toxic Epidermal Necrolysis and Drug Rash with Eosinophilia and Systemic Symptoms) have been reported early on in treatment (1-5 weeks) but occasionally after prolonged treatment. </w:t>
      </w:r>
      <w:r w:rsidRPr="00792011">
        <w:rPr>
          <w:b/>
          <w:bCs/>
          <w:sz w:val="22"/>
          <w:szCs w:val="22"/>
        </w:rPr>
        <w:t xml:space="preserve">Modafinil should be discontinued and not restarted in cases of skin or hypersensitivity reaction. </w:t>
      </w:r>
    </w:p>
    <w:p w14:paraId="77E1C9A2" w14:textId="77777777" w:rsidR="005A49A9" w:rsidRDefault="005A49A9" w:rsidP="005A49A9">
      <w:pPr>
        <w:jc w:val="both"/>
        <w:rPr>
          <w:b/>
          <w:bCs/>
          <w:sz w:val="23"/>
          <w:szCs w:val="23"/>
        </w:rPr>
      </w:pPr>
    </w:p>
    <w:p w14:paraId="2C015160" w14:textId="77777777" w:rsidR="005A49A9" w:rsidRPr="00792011" w:rsidRDefault="005A49A9" w:rsidP="005A49A9">
      <w:pPr>
        <w:jc w:val="both"/>
        <w:rPr>
          <w:rFonts w:ascii="Arial" w:hAnsi="Arial" w:cs="Arial"/>
        </w:rPr>
      </w:pPr>
      <w:r w:rsidRPr="00792011">
        <w:rPr>
          <w:rFonts w:ascii="Arial" w:hAnsi="Arial" w:cs="Arial"/>
          <w:b/>
          <w:bCs/>
        </w:rPr>
        <w:t xml:space="preserve">Psychiatric symptoms such as psychosis, suicide related behaviour </w:t>
      </w:r>
      <w:r w:rsidRPr="00792011">
        <w:rPr>
          <w:rFonts w:ascii="Arial" w:hAnsi="Arial" w:cs="Arial"/>
        </w:rPr>
        <w:t xml:space="preserve">–mainly but not exclusively in those with a history of psychosis, depression, mania. Patients should be monitored for the appearance of psychiatric symptoms. </w:t>
      </w:r>
      <w:r w:rsidRPr="00792011">
        <w:rPr>
          <w:rFonts w:ascii="Arial" w:hAnsi="Arial" w:cs="Arial"/>
          <w:b/>
          <w:bCs/>
        </w:rPr>
        <w:t xml:space="preserve">Should these emerge whilst on therapy, modafinil should be discontinued and not restarted. </w:t>
      </w:r>
      <w:r w:rsidRPr="00792011">
        <w:rPr>
          <w:rFonts w:ascii="Arial" w:hAnsi="Arial" w:cs="Arial"/>
        </w:rPr>
        <w:t xml:space="preserve">Modafinil is also associated with the onset or worsening of anxiety. </w:t>
      </w:r>
    </w:p>
    <w:p w14:paraId="499B9DBA" w14:textId="77777777" w:rsidR="005A49A9" w:rsidRPr="00792011" w:rsidRDefault="005A49A9" w:rsidP="005A49A9">
      <w:pPr>
        <w:jc w:val="both"/>
      </w:pPr>
    </w:p>
    <w:p w14:paraId="71FEB7D7" w14:textId="77777777" w:rsidR="005A49A9" w:rsidRPr="00792011" w:rsidRDefault="005A49A9" w:rsidP="005A49A9">
      <w:pPr>
        <w:pStyle w:val="Default"/>
        <w:jc w:val="both"/>
        <w:rPr>
          <w:sz w:val="22"/>
          <w:szCs w:val="22"/>
        </w:rPr>
      </w:pPr>
      <w:r w:rsidRPr="00792011">
        <w:rPr>
          <w:b/>
          <w:bCs/>
          <w:sz w:val="22"/>
          <w:szCs w:val="22"/>
        </w:rPr>
        <w:t xml:space="preserve">Aggressive or hostile behaviour: </w:t>
      </w:r>
      <w:r w:rsidRPr="00792011">
        <w:rPr>
          <w:sz w:val="22"/>
          <w:szCs w:val="22"/>
        </w:rPr>
        <w:t xml:space="preserve">The onset or worsening of aggressive or hostile behaviour can be caused by treatment with modafinil. If symptoms occur, discontinuation of modafinil may be required. </w:t>
      </w:r>
    </w:p>
    <w:p w14:paraId="53DFBA0D" w14:textId="77777777" w:rsidR="005A49A9" w:rsidRPr="00792011" w:rsidRDefault="005A49A9" w:rsidP="005A49A9">
      <w:pPr>
        <w:pStyle w:val="Default"/>
        <w:jc w:val="both"/>
        <w:rPr>
          <w:sz w:val="22"/>
          <w:szCs w:val="22"/>
        </w:rPr>
      </w:pPr>
    </w:p>
    <w:p w14:paraId="48F163CE" w14:textId="77777777" w:rsidR="005A49A9" w:rsidRPr="00792011" w:rsidRDefault="005A49A9" w:rsidP="005A49A9">
      <w:pPr>
        <w:pStyle w:val="Default"/>
        <w:jc w:val="both"/>
        <w:rPr>
          <w:b/>
          <w:bCs/>
          <w:sz w:val="22"/>
          <w:szCs w:val="22"/>
        </w:rPr>
      </w:pPr>
      <w:r w:rsidRPr="00792011">
        <w:rPr>
          <w:b/>
          <w:bCs/>
          <w:sz w:val="22"/>
          <w:szCs w:val="22"/>
        </w:rPr>
        <w:t xml:space="preserve">Hypersensitivity reactions </w:t>
      </w:r>
      <w:r w:rsidRPr="00792011">
        <w:rPr>
          <w:sz w:val="22"/>
          <w:szCs w:val="22"/>
        </w:rPr>
        <w:t xml:space="preserve">– </w:t>
      </w:r>
      <w:proofErr w:type="gramStart"/>
      <w:r w:rsidRPr="00792011">
        <w:rPr>
          <w:sz w:val="22"/>
          <w:szCs w:val="22"/>
        </w:rPr>
        <w:t>Multi-organ</w:t>
      </w:r>
      <w:proofErr w:type="gramEnd"/>
      <w:r w:rsidRPr="00792011">
        <w:rPr>
          <w:sz w:val="22"/>
          <w:szCs w:val="22"/>
        </w:rPr>
        <w:t xml:space="preserve"> hypersensitivity reactions have been reported. Typically, although not exclusively, this presents as fever and rash associated with other organ system involvement. Other associated manifestations included myocarditis, hepatitis, liver function test abnormalities, haematological abnormalities (e.g., eosinophilia, leukopenia, thrombocytopenia), pruritus, and asthenia. </w:t>
      </w:r>
      <w:r w:rsidRPr="00792011">
        <w:rPr>
          <w:b/>
          <w:bCs/>
          <w:sz w:val="22"/>
          <w:szCs w:val="22"/>
        </w:rPr>
        <w:t xml:space="preserve">If multi-organ hypersensitivity is suspected, modafinil should be discontinued. </w:t>
      </w:r>
    </w:p>
    <w:p w14:paraId="6F8EC2EE" w14:textId="77777777" w:rsidR="005A49A9" w:rsidRPr="00792011" w:rsidRDefault="005A49A9" w:rsidP="005A49A9">
      <w:pPr>
        <w:pStyle w:val="Default"/>
        <w:jc w:val="both"/>
        <w:rPr>
          <w:b/>
          <w:bCs/>
          <w:sz w:val="22"/>
          <w:szCs w:val="22"/>
        </w:rPr>
      </w:pPr>
    </w:p>
    <w:p w14:paraId="52D91048" w14:textId="77777777" w:rsidR="005A49A9" w:rsidRPr="00792011" w:rsidRDefault="005A49A9" w:rsidP="005A49A9">
      <w:pPr>
        <w:pStyle w:val="Default"/>
        <w:jc w:val="both"/>
        <w:rPr>
          <w:sz w:val="22"/>
          <w:szCs w:val="22"/>
        </w:rPr>
      </w:pPr>
      <w:r w:rsidRPr="00792011">
        <w:rPr>
          <w:b/>
          <w:bCs/>
          <w:sz w:val="22"/>
          <w:szCs w:val="22"/>
        </w:rPr>
        <w:t xml:space="preserve">Dependence and abuse potential </w:t>
      </w:r>
      <w:r w:rsidRPr="00792011">
        <w:rPr>
          <w:sz w:val="22"/>
          <w:szCs w:val="22"/>
        </w:rPr>
        <w:t xml:space="preserve">- the possibility of dependence with </w:t>
      </w:r>
      <w:proofErr w:type="spellStart"/>
      <w:r w:rsidRPr="00792011">
        <w:rPr>
          <w:sz w:val="22"/>
          <w:szCs w:val="22"/>
        </w:rPr>
        <w:t>longterm</w:t>
      </w:r>
      <w:proofErr w:type="spellEnd"/>
      <w:r w:rsidRPr="00792011">
        <w:rPr>
          <w:sz w:val="22"/>
          <w:szCs w:val="22"/>
        </w:rPr>
        <w:t xml:space="preserve"> use cannot be entirely excluded. </w:t>
      </w:r>
    </w:p>
    <w:p w14:paraId="6C5282AE" w14:textId="77777777" w:rsidR="005A49A9" w:rsidRPr="00792011" w:rsidRDefault="005A49A9" w:rsidP="005A49A9">
      <w:pPr>
        <w:pStyle w:val="Default"/>
        <w:jc w:val="both"/>
        <w:rPr>
          <w:b/>
          <w:bCs/>
          <w:sz w:val="22"/>
          <w:szCs w:val="22"/>
        </w:rPr>
      </w:pPr>
    </w:p>
    <w:p w14:paraId="346C35F6" w14:textId="77777777" w:rsidR="005A49A9" w:rsidRPr="00792011" w:rsidRDefault="005A49A9" w:rsidP="005A49A9">
      <w:pPr>
        <w:pStyle w:val="Default"/>
        <w:jc w:val="both"/>
        <w:rPr>
          <w:sz w:val="22"/>
          <w:szCs w:val="22"/>
        </w:rPr>
      </w:pPr>
      <w:r w:rsidRPr="00792011">
        <w:rPr>
          <w:b/>
          <w:bCs/>
          <w:sz w:val="22"/>
          <w:szCs w:val="22"/>
        </w:rPr>
        <w:t xml:space="preserve">Other reactions </w:t>
      </w:r>
      <w:r>
        <w:rPr>
          <w:sz w:val="22"/>
          <w:szCs w:val="22"/>
        </w:rPr>
        <w:t>–</w:t>
      </w:r>
      <w:r w:rsidRPr="00792011">
        <w:rPr>
          <w:sz w:val="22"/>
          <w:szCs w:val="22"/>
        </w:rPr>
        <w:t xml:space="preserve"> </w:t>
      </w:r>
      <w:r>
        <w:rPr>
          <w:sz w:val="22"/>
          <w:szCs w:val="22"/>
        </w:rPr>
        <w:t>vasodilation,</w:t>
      </w:r>
      <w:r w:rsidRPr="00792011">
        <w:rPr>
          <w:sz w:val="22"/>
          <w:szCs w:val="22"/>
        </w:rPr>
        <w:t xml:space="preserve"> dizziness, somnolence, paraesthesia, blurred vision. </w:t>
      </w:r>
      <w:r>
        <w:rPr>
          <w:sz w:val="22"/>
          <w:szCs w:val="22"/>
        </w:rPr>
        <w:t xml:space="preserve"> Headache can occur in up to 21% of patients and can be managed with simple analgesia and resolves within a few days.   </w:t>
      </w:r>
    </w:p>
    <w:p w14:paraId="365EF5CF" w14:textId="77777777" w:rsidR="005A49A9" w:rsidRDefault="005A49A9" w:rsidP="005A49A9">
      <w:pPr>
        <w:jc w:val="both"/>
        <w:rPr>
          <w:rFonts w:ascii="Arial" w:hAnsi="Arial" w:cs="Arial"/>
          <w:bCs/>
        </w:rPr>
      </w:pPr>
    </w:p>
    <w:p w14:paraId="7408DF10" w14:textId="77777777" w:rsidR="005A49A9" w:rsidRDefault="005A49A9" w:rsidP="005A49A9">
      <w:pPr>
        <w:jc w:val="both"/>
        <w:rPr>
          <w:rFonts w:ascii="Arial" w:hAnsi="Arial" w:cs="Arial"/>
          <w:bCs/>
        </w:rPr>
      </w:pPr>
    </w:p>
    <w:p w14:paraId="136252FD" w14:textId="77777777" w:rsidR="005A49A9" w:rsidRDefault="005A49A9" w:rsidP="005A49A9">
      <w:pPr>
        <w:jc w:val="both"/>
        <w:rPr>
          <w:rFonts w:ascii="Arial" w:hAnsi="Arial" w:cs="Arial"/>
          <w:bCs/>
        </w:rPr>
      </w:pPr>
      <w:r>
        <w:rPr>
          <w:rFonts w:ascii="Arial" w:hAnsi="Arial" w:cs="Arial"/>
          <w:bCs/>
        </w:rPr>
        <w:t xml:space="preserve">For complete list always check with BNF </w:t>
      </w:r>
      <w:hyperlink r:id="rId8" w:history="1">
        <w:r>
          <w:rPr>
            <w:rStyle w:val="Hyperlink"/>
            <w:rFonts w:ascii="Arial" w:hAnsi="Arial" w:cs="Arial"/>
            <w:bCs/>
          </w:rPr>
          <w:t>www.bnf.org.uk</w:t>
        </w:r>
      </w:hyperlink>
      <w:r>
        <w:rPr>
          <w:rFonts w:ascii="Arial" w:hAnsi="Arial" w:cs="Arial"/>
          <w:bCs/>
        </w:rPr>
        <w:t xml:space="preserve"> or SPC (</w:t>
      </w:r>
      <w:hyperlink r:id="rId9" w:history="1">
        <w:r>
          <w:rPr>
            <w:rStyle w:val="Hyperlink"/>
            <w:rFonts w:ascii="Arial" w:hAnsi="Arial" w:cs="Arial"/>
            <w:bCs/>
          </w:rPr>
          <w:t>www.medicines.org.uk</w:t>
        </w:r>
      </w:hyperlink>
      <w:r>
        <w:rPr>
          <w:rFonts w:ascii="Arial" w:hAnsi="Arial" w:cs="Arial"/>
          <w:bCs/>
        </w:rPr>
        <w:t>).</w:t>
      </w:r>
    </w:p>
    <w:p w14:paraId="3E167639" w14:textId="77777777" w:rsidR="005A49A9" w:rsidRDefault="005A49A9" w:rsidP="005A49A9">
      <w:pPr>
        <w:jc w:val="both"/>
        <w:rPr>
          <w:rFonts w:ascii="Arial" w:hAnsi="Arial" w:cs="Arial"/>
          <w:bCs/>
        </w:rPr>
      </w:pPr>
    </w:p>
    <w:p w14:paraId="7EC23907" w14:textId="77777777" w:rsidR="005A49A9" w:rsidRDefault="005A49A9" w:rsidP="005A49A9">
      <w:pPr>
        <w:jc w:val="both"/>
        <w:rPr>
          <w:rFonts w:ascii="Arial" w:hAnsi="Arial" w:cs="Arial"/>
        </w:rPr>
      </w:pPr>
    </w:p>
    <w:p w14:paraId="7C12B6F4" w14:textId="77777777" w:rsidR="005A49A9" w:rsidRDefault="005A49A9" w:rsidP="005A49A9">
      <w:pPr>
        <w:numPr>
          <w:ilvl w:val="0"/>
          <w:numId w:val="7"/>
        </w:numPr>
        <w:spacing w:before="0" w:after="0"/>
        <w:jc w:val="both"/>
        <w:rPr>
          <w:rFonts w:ascii="Arial" w:hAnsi="Arial" w:cs="Arial"/>
          <w:b/>
          <w:bCs/>
        </w:rPr>
      </w:pPr>
      <w:r>
        <w:rPr>
          <w:rFonts w:ascii="Arial" w:hAnsi="Arial" w:cs="Arial"/>
          <w:b/>
          <w:bCs/>
        </w:rPr>
        <w:lastRenderedPageBreak/>
        <w:t>Interactions</w:t>
      </w:r>
    </w:p>
    <w:p w14:paraId="7501A0C1" w14:textId="77777777" w:rsidR="005A49A9" w:rsidRDefault="005A49A9" w:rsidP="005A49A9">
      <w:pPr>
        <w:jc w:val="both"/>
        <w:rPr>
          <w:rFonts w:ascii="Arial" w:hAnsi="Arial" w:cs="Arial"/>
        </w:rPr>
      </w:pPr>
      <w:r>
        <w:rPr>
          <w:rFonts w:ascii="Arial" w:hAnsi="Arial" w:cs="Arial"/>
        </w:rPr>
        <w:t>The effectiveness of combined and progestogen only contraceptives may be reduced when used with modafinil. Alternative or concomitant methods of contraception are recommended, and for two months after discontinuation of modafinil.</w:t>
      </w:r>
    </w:p>
    <w:p w14:paraId="5A80FE87" w14:textId="77777777" w:rsidR="005A49A9" w:rsidRDefault="005A49A9" w:rsidP="005A49A9">
      <w:pPr>
        <w:jc w:val="both"/>
        <w:rPr>
          <w:rFonts w:ascii="Arial" w:hAnsi="Arial" w:cs="Arial"/>
        </w:rPr>
      </w:pPr>
    </w:p>
    <w:p w14:paraId="21B168F8" w14:textId="77777777" w:rsidR="005A49A9" w:rsidRPr="00792011" w:rsidRDefault="005A49A9" w:rsidP="005A49A9">
      <w:pPr>
        <w:pStyle w:val="Default"/>
        <w:jc w:val="both"/>
        <w:rPr>
          <w:sz w:val="22"/>
          <w:szCs w:val="22"/>
        </w:rPr>
      </w:pPr>
      <w:r w:rsidRPr="00792011">
        <w:rPr>
          <w:b/>
          <w:bCs/>
          <w:sz w:val="22"/>
          <w:szCs w:val="22"/>
        </w:rPr>
        <w:t xml:space="preserve">Anticonvulsants </w:t>
      </w:r>
      <w:r w:rsidRPr="00792011">
        <w:rPr>
          <w:sz w:val="22"/>
          <w:szCs w:val="22"/>
        </w:rPr>
        <w:t xml:space="preserve">- Care should be observed when used in combination with anticonvulsant drugs. Modafinil levels may be reduced by carbamazepine and phenobarbitone and phenytoin levels may be increased by modafinil. Measurement of phenytoin plasma levels may be appropriate on initiation or discontinuation of treatment with modafinil. </w:t>
      </w:r>
    </w:p>
    <w:p w14:paraId="2E14C976" w14:textId="77777777" w:rsidR="005A49A9" w:rsidRPr="00792011" w:rsidRDefault="005A49A9" w:rsidP="005A49A9">
      <w:pPr>
        <w:jc w:val="both"/>
        <w:rPr>
          <w:rFonts w:ascii="Arial" w:hAnsi="Arial" w:cs="Arial"/>
        </w:rPr>
      </w:pPr>
    </w:p>
    <w:p w14:paraId="6E8185C3" w14:textId="77777777" w:rsidR="005A49A9" w:rsidRPr="00792011" w:rsidRDefault="005A49A9" w:rsidP="005A49A9">
      <w:pPr>
        <w:pStyle w:val="Default"/>
        <w:jc w:val="both"/>
        <w:rPr>
          <w:sz w:val="22"/>
          <w:szCs w:val="22"/>
        </w:rPr>
      </w:pPr>
      <w:r w:rsidRPr="00792011">
        <w:rPr>
          <w:b/>
          <w:bCs/>
          <w:sz w:val="22"/>
          <w:szCs w:val="22"/>
        </w:rPr>
        <w:t xml:space="preserve">Antidepressants </w:t>
      </w:r>
      <w:r w:rsidRPr="00792011">
        <w:rPr>
          <w:sz w:val="22"/>
          <w:szCs w:val="22"/>
        </w:rPr>
        <w:t xml:space="preserve">- Serotonin syndrome has been reported when MAOIs have been used concurrently with modafinil and should be used together with caution. Metabolism of some TCADs (amitriptyline, clomipramine, </w:t>
      </w:r>
      <w:proofErr w:type="gramStart"/>
      <w:r w:rsidRPr="00792011">
        <w:rPr>
          <w:sz w:val="22"/>
          <w:szCs w:val="22"/>
        </w:rPr>
        <w:t>imipramine</w:t>
      </w:r>
      <w:proofErr w:type="gramEnd"/>
      <w:r w:rsidRPr="00792011">
        <w:rPr>
          <w:sz w:val="22"/>
          <w:szCs w:val="22"/>
        </w:rPr>
        <w:t xml:space="preserve"> and SSRIs (citalopram) may be inhibited by modafinil and lower doses of these antidepressants may be required. </w:t>
      </w:r>
    </w:p>
    <w:p w14:paraId="79F57822" w14:textId="77777777" w:rsidR="005A49A9" w:rsidRPr="00792011" w:rsidRDefault="005A49A9" w:rsidP="005A49A9">
      <w:pPr>
        <w:pStyle w:val="Default"/>
        <w:jc w:val="both"/>
        <w:rPr>
          <w:sz w:val="22"/>
          <w:szCs w:val="22"/>
        </w:rPr>
      </w:pPr>
    </w:p>
    <w:p w14:paraId="590E9893" w14:textId="77777777" w:rsidR="005A49A9" w:rsidRPr="00792011" w:rsidRDefault="005A49A9" w:rsidP="005A49A9">
      <w:pPr>
        <w:pStyle w:val="Default"/>
        <w:jc w:val="both"/>
        <w:rPr>
          <w:sz w:val="22"/>
          <w:szCs w:val="22"/>
        </w:rPr>
      </w:pPr>
      <w:r w:rsidRPr="00792011">
        <w:rPr>
          <w:b/>
          <w:bCs/>
          <w:sz w:val="22"/>
          <w:szCs w:val="22"/>
        </w:rPr>
        <w:t xml:space="preserve">Anticoagulants (Warfarin) </w:t>
      </w:r>
      <w:r w:rsidRPr="00792011">
        <w:rPr>
          <w:sz w:val="22"/>
          <w:szCs w:val="22"/>
        </w:rPr>
        <w:t xml:space="preserve">- modafinil may increase the anticoagulant effect of warfarin. The INR should be monitored regularly during the first 2 months of modafinil use and after changes in modafinil dosage. </w:t>
      </w:r>
    </w:p>
    <w:p w14:paraId="200032B8" w14:textId="77777777" w:rsidR="005A49A9" w:rsidRPr="00792011" w:rsidRDefault="005A49A9" w:rsidP="005A49A9">
      <w:pPr>
        <w:pStyle w:val="Default"/>
        <w:jc w:val="both"/>
        <w:rPr>
          <w:sz w:val="22"/>
          <w:szCs w:val="22"/>
        </w:rPr>
      </w:pPr>
    </w:p>
    <w:p w14:paraId="42A6853A" w14:textId="77777777" w:rsidR="005A49A9" w:rsidRDefault="005A49A9" w:rsidP="005A49A9">
      <w:pPr>
        <w:jc w:val="both"/>
        <w:rPr>
          <w:rFonts w:ascii="Arial" w:hAnsi="Arial" w:cs="Arial"/>
        </w:rPr>
      </w:pPr>
      <w:r w:rsidRPr="00792011">
        <w:rPr>
          <w:rFonts w:ascii="Arial" w:hAnsi="Arial" w:cs="Arial"/>
          <w:b/>
          <w:bCs/>
        </w:rPr>
        <w:t xml:space="preserve">Ciclosporin </w:t>
      </w:r>
      <w:r w:rsidRPr="00792011">
        <w:rPr>
          <w:rFonts w:ascii="Arial" w:hAnsi="Arial" w:cs="Arial"/>
        </w:rPr>
        <w:t xml:space="preserve">– modafinil may reduce plasma concentrations of ciclosporin. Advice may need to be sought from the specialist as to the significance of this interaction and ciclosporin levels rechecked as necessary. </w:t>
      </w:r>
    </w:p>
    <w:p w14:paraId="0951C762" w14:textId="77777777" w:rsidR="005A49A9" w:rsidRDefault="005A49A9" w:rsidP="005A49A9">
      <w:pPr>
        <w:jc w:val="both"/>
        <w:rPr>
          <w:rFonts w:ascii="Arial" w:hAnsi="Arial" w:cs="Arial"/>
        </w:rPr>
      </w:pPr>
    </w:p>
    <w:p w14:paraId="215AAEC1" w14:textId="77777777" w:rsidR="005A49A9" w:rsidRPr="00477052" w:rsidRDefault="005A49A9" w:rsidP="005A49A9">
      <w:pPr>
        <w:jc w:val="both"/>
        <w:rPr>
          <w:rFonts w:ascii="Arial" w:hAnsi="Arial" w:cs="Arial"/>
        </w:rPr>
      </w:pPr>
      <w:r w:rsidRPr="00FF6F10">
        <w:rPr>
          <w:rFonts w:ascii="Arial" w:hAnsi="Arial" w:cs="Arial"/>
          <w:b/>
        </w:rPr>
        <w:t xml:space="preserve">Contraceptives </w:t>
      </w:r>
      <w:r w:rsidRPr="00477052">
        <w:rPr>
          <w:rFonts w:ascii="Arial" w:hAnsi="Arial" w:cs="Arial"/>
        </w:rPr>
        <w:t>- women should be advised that modafinil interacts with combine hormonal contraceptives (oral, patch and ring), progestogen only oral contraceptives and the progestogen only implant, including when used for emergency contraception.</w:t>
      </w:r>
    </w:p>
    <w:p w14:paraId="2EEEE5C6" w14:textId="77777777" w:rsidR="005A49A9" w:rsidRPr="00477052" w:rsidRDefault="005A49A9" w:rsidP="005A49A9">
      <w:pPr>
        <w:jc w:val="both"/>
        <w:rPr>
          <w:rFonts w:ascii="Arial" w:hAnsi="Arial" w:cs="Arial"/>
        </w:rPr>
      </w:pPr>
      <w:r w:rsidRPr="00477052">
        <w:rPr>
          <w:rFonts w:ascii="Arial" w:hAnsi="Arial" w:cs="Arial"/>
        </w:rPr>
        <w:t>Additional precautions or an alternative method should be continued for 2 months after stopping modafinil treatment (as per the manufacturer (but note the Faculty of Family Planning state 4 weeks)</w:t>
      </w:r>
    </w:p>
    <w:p w14:paraId="1DF1B798" w14:textId="77777777" w:rsidR="005A49A9" w:rsidRPr="00477052" w:rsidRDefault="005A49A9" w:rsidP="005A49A9">
      <w:pPr>
        <w:jc w:val="both"/>
        <w:rPr>
          <w:rFonts w:ascii="Arial" w:hAnsi="Arial" w:cs="Arial"/>
        </w:rPr>
      </w:pPr>
      <w:r w:rsidRPr="00477052">
        <w:rPr>
          <w:rFonts w:ascii="Arial" w:hAnsi="Arial" w:cs="Arial"/>
        </w:rPr>
        <w:t>Appropriate alternative methods of contraception include the copper IUD, progestogen only injection and levonorgestrel releasing IUD.</w:t>
      </w:r>
    </w:p>
    <w:p w14:paraId="5D1D13D0" w14:textId="77777777" w:rsidR="005A49A9" w:rsidRPr="00477052" w:rsidRDefault="005A49A9" w:rsidP="005A49A9">
      <w:pPr>
        <w:jc w:val="both"/>
        <w:rPr>
          <w:rFonts w:ascii="Arial" w:hAnsi="Arial" w:cs="Arial"/>
        </w:rPr>
      </w:pPr>
      <w:r w:rsidRPr="00477052">
        <w:rPr>
          <w:rFonts w:ascii="Arial" w:hAnsi="Arial" w:cs="Arial"/>
        </w:rPr>
        <w:t>For the most up to date advice refer to the advice on the Faculty of Family Planning website.</w:t>
      </w:r>
    </w:p>
    <w:p w14:paraId="3F8E0B59" w14:textId="77777777" w:rsidR="005A49A9" w:rsidRPr="00792011" w:rsidRDefault="00BE5F50" w:rsidP="005A49A9">
      <w:pPr>
        <w:jc w:val="both"/>
        <w:rPr>
          <w:rFonts w:ascii="Arial" w:hAnsi="Arial" w:cs="Arial"/>
        </w:rPr>
      </w:pPr>
      <w:hyperlink r:id="rId10" w:history="1">
        <w:r w:rsidR="005A49A9" w:rsidRPr="000E4E7B">
          <w:rPr>
            <w:rStyle w:val="Hyperlink"/>
            <w:rFonts w:ascii="Arial" w:hAnsi="Arial" w:cs="Arial"/>
          </w:rPr>
          <w:t>https://www.fsrh.org/standards-and-guidance/documents/ceu-clinical-guidance-drug-interactions-with-hormonal/</w:t>
        </w:r>
      </w:hyperlink>
      <w:r w:rsidR="005A49A9">
        <w:rPr>
          <w:rFonts w:ascii="Arial" w:hAnsi="Arial" w:cs="Arial"/>
        </w:rPr>
        <w:t xml:space="preserve"> </w:t>
      </w:r>
    </w:p>
    <w:p w14:paraId="475627AE" w14:textId="77777777" w:rsidR="005A49A9" w:rsidRDefault="005A49A9" w:rsidP="005A49A9">
      <w:pPr>
        <w:jc w:val="both"/>
        <w:rPr>
          <w:rFonts w:ascii="Arial" w:hAnsi="Arial" w:cs="Arial"/>
        </w:rPr>
      </w:pPr>
    </w:p>
    <w:p w14:paraId="4F3D0997" w14:textId="77777777" w:rsidR="005A49A9" w:rsidRDefault="005A49A9" w:rsidP="005A49A9">
      <w:pPr>
        <w:jc w:val="both"/>
        <w:rPr>
          <w:rFonts w:ascii="Arial" w:hAnsi="Arial" w:cs="Arial"/>
        </w:rPr>
      </w:pPr>
      <w:r>
        <w:rPr>
          <w:rFonts w:ascii="Arial" w:hAnsi="Arial" w:cs="Arial"/>
        </w:rPr>
        <w:t xml:space="preserve">For complete list always check with BNF or Data Sheet (available electronically at </w:t>
      </w:r>
      <w:hyperlink r:id="rId11" w:history="1">
        <w:r>
          <w:rPr>
            <w:rStyle w:val="Hyperlink"/>
            <w:rFonts w:ascii="Arial" w:hAnsi="Arial" w:cs="Arial"/>
          </w:rPr>
          <w:t>www.medicines.org.uk</w:t>
        </w:r>
      </w:hyperlink>
      <w:r>
        <w:rPr>
          <w:rFonts w:ascii="Arial" w:hAnsi="Arial" w:cs="Arial"/>
          <w:u w:val="single"/>
        </w:rPr>
        <w:t xml:space="preserve"> </w:t>
      </w:r>
      <w:r>
        <w:rPr>
          <w:rFonts w:ascii="Arial" w:hAnsi="Arial" w:cs="Arial"/>
        </w:rPr>
        <w:t xml:space="preserve">)  </w:t>
      </w:r>
    </w:p>
    <w:p w14:paraId="73A5B55A" w14:textId="77777777" w:rsidR="005A49A9" w:rsidRDefault="005A49A9" w:rsidP="005A49A9">
      <w:pPr>
        <w:jc w:val="both"/>
        <w:rPr>
          <w:rFonts w:ascii="Arial" w:hAnsi="Arial" w:cs="Arial"/>
        </w:rPr>
      </w:pPr>
    </w:p>
    <w:p w14:paraId="372B332F" w14:textId="77777777" w:rsidR="005A49A9" w:rsidRDefault="005A49A9" w:rsidP="005A49A9">
      <w:pPr>
        <w:rPr>
          <w:rFonts w:ascii="Arial" w:hAnsi="Arial" w:cs="Arial"/>
          <w:b/>
          <w:bCs/>
        </w:rPr>
      </w:pPr>
    </w:p>
    <w:p w14:paraId="0F5764B9" w14:textId="77777777" w:rsidR="005A49A9" w:rsidRDefault="005A49A9" w:rsidP="005A49A9">
      <w:pPr>
        <w:numPr>
          <w:ilvl w:val="0"/>
          <w:numId w:val="7"/>
        </w:numPr>
        <w:spacing w:before="0" w:after="0"/>
        <w:rPr>
          <w:rFonts w:ascii="Arial" w:hAnsi="Arial" w:cs="Arial"/>
          <w:b/>
          <w:bCs/>
        </w:rPr>
      </w:pPr>
      <w:r>
        <w:rPr>
          <w:rFonts w:ascii="Arial" w:hAnsi="Arial" w:cs="Arial"/>
          <w:b/>
          <w:bCs/>
        </w:rPr>
        <w:t>Monitoring</w:t>
      </w:r>
    </w:p>
    <w:p w14:paraId="26BFCE19" w14:textId="77777777" w:rsidR="005A49A9" w:rsidRDefault="005A49A9" w:rsidP="005A49A9">
      <w:pPr>
        <w:rPr>
          <w:rFonts w:ascii="Arial" w:hAnsi="Arial" w:cs="Arial"/>
          <w:b/>
          <w:bCs/>
        </w:rPr>
      </w:pPr>
    </w:p>
    <w:p w14:paraId="27525419" w14:textId="77777777" w:rsidR="005A49A9" w:rsidRDefault="005A49A9" w:rsidP="005A49A9">
      <w:pPr>
        <w:pStyle w:val="BodyText"/>
        <w:rPr>
          <w:b w:val="0"/>
          <w:sz w:val="22"/>
        </w:rPr>
      </w:pPr>
      <w:r>
        <w:rPr>
          <w:b w:val="0"/>
          <w:sz w:val="22"/>
        </w:rPr>
        <w:t xml:space="preserve">ECG is required prior to initiation. </w:t>
      </w:r>
    </w:p>
    <w:p w14:paraId="1C7113B5" w14:textId="77777777" w:rsidR="005A49A9" w:rsidRDefault="005A49A9" w:rsidP="005A49A9">
      <w:pPr>
        <w:pStyle w:val="BodyText"/>
        <w:rPr>
          <w:b w:val="0"/>
          <w:sz w:val="22"/>
        </w:rPr>
      </w:pPr>
    </w:p>
    <w:p w14:paraId="390DCB50" w14:textId="77777777" w:rsidR="005A49A9" w:rsidRDefault="005A49A9" w:rsidP="005A49A9">
      <w:pPr>
        <w:pStyle w:val="BodyText"/>
        <w:rPr>
          <w:b w:val="0"/>
          <w:sz w:val="22"/>
        </w:rPr>
      </w:pPr>
      <w:r w:rsidRPr="00D140F6">
        <w:rPr>
          <w:b w:val="0"/>
          <w:sz w:val="22"/>
        </w:rPr>
        <w:t xml:space="preserve">Blood pressure and heart rate should be monitored regularly as advised by specialist (at least every </w:t>
      </w:r>
      <w:r>
        <w:rPr>
          <w:b w:val="0"/>
          <w:sz w:val="22"/>
        </w:rPr>
        <w:t>6</w:t>
      </w:r>
      <w:r w:rsidRPr="00D140F6">
        <w:rPr>
          <w:b w:val="0"/>
          <w:sz w:val="22"/>
        </w:rPr>
        <w:t xml:space="preserve"> months).</w:t>
      </w:r>
    </w:p>
    <w:p w14:paraId="613D9D9E" w14:textId="77777777" w:rsidR="005A49A9" w:rsidRDefault="005A49A9" w:rsidP="005A49A9">
      <w:pPr>
        <w:pStyle w:val="BodyText"/>
        <w:rPr>
          <w:b w:val="0"/>
          <w:sz w:val="22"/>
        </w:rPr>
      </w:pPr>
    </w:p>
    <w:p w14:paraId="13D4A346" w14:textId="77777777" w:rsidR="005A49A9" w:rsidRDefault="005A49A9" w:rsidP="005A49A9">
      <w:pPr>
        <w:pStyle w:val="BodyText"/>
        <w:rPr>
          <w:sz w:val="22"/>
        </w:rPr>
      </w:pPr>
      <w:r>
        <w:rPr>
          <w:b w:val="0"/>
          <w:sz w:val="22"/>
        </w:rPr>
        <w:t>Clinical response and adverse effects will be monitored by specialist and general practitioner.</w:t>
      </w:r>
    </w:p>
    <w:p w14:paraId="5F8864FB" w14:textId="77777777" w:rsidR="005A49A9" w:rsidRDefault="005A49A9" w:rsidP="005A49A9">
      <w:pPr>
        <w:jc w:val="both"/>
        <w:rPr>
          <w:rFonts w:ascii="Arial" w:hAnsi="Arial" w:cs="Arial"/>
        </w:rPr>
      </w:pPr>
    </w:p>
    <w:p w14:paraId="0E96E600" w14:textId="77777777" w:rsidR="005A49A9" w:rsidRDefault="005A49A9" w:rsidP="005A49A9">
      <w:pPr>
        <w:rPr>
          <w:rFonts w:ascii="Arial" w:hAnsi="Arial" w:cs="Arial"/>
          <w:b/>
          <w:bCs/>
        </w:rPr>
      </w:pPr>
    </w:p>
    <w:p w14:paraId="4E02484B" w14:textId="77777777" w:rsidR="005A49A9" w:rsidRDefault="005A49A9" w:rsidP="005A49A9">
      <w:pPr>
        <w:numPr>
          <w:ilvl w:val="0"/>
          <w:numId w:val="7"/>
        </w:numPr>
        <w:spacing w:before="0" w:after="0"/>
        <w:rPr>
          <w:rFonts w:ascii="Arial" w:hAnsi="Arial" w:cs="Arial"/>
          <w:b/>
          <w:bCs/>
        </w:rPr>
      </w:pPr>
      <w:r>
        <w:rPr>
          <w:rFonts w:ascii="Arial" w:hAnsi="Arial" w:cs="Arial"/>
          <w:b/>
          <w:bCs/>
        </w:rPr>
        <w:t>Information to patient</w:t>
      </w:r>
    </w:p>
    <w:p w14:paraId="489C4B39" w14:textId="77777777" w:rsidR="005A49A9" w:rsidRDefault="005A49A9" w:rsidP="005A49A9">
      <w:pPr>
        <w:rPr>
          <w:rFonts w:ascii="Arial" w:hAnsi="Arial" w:cs="Arial"/>
        </w:rPr>
      </w:pPr>
      <w:r>
        <w:rPr>
          <w:rFonts w:ascii="Arial" w:hAnsi="Arial" w:cs="Arial"/>
        </w:rPr>
        <w:t>Patient should be advised of risks and benefits of treatment. (</w:t>
      </w:r>
      <w:proofErr w:type="gramStart"/>
      <w:r>
        <w:rPr>
          <w:rFonts w:ascii="Arial" w:hAnsi="Arial" w:cs="Arial"/>
        </w:rPr>
        <w:t>where</w:t>
      </w:r>
      <w:proofErr w:type="gramEnd"/>
      <w:r>
        <w:rPr>
          <w:rFonts w:ascii="Arial" w:hAnsi="Arial" w:cs="Arial"/>
        </w:rPr>
        <w:t xml:space="preserve"> relevant, patients should be warned that side effects may impair ability to drive, operate machinery)</w:t>
      </w:r>
    </w:p>
    <w:p w14:paraId="2EFEABB7" w14:textId="77777777" w:rsidR="005A49A9" w:rsidRDefault="005A49A9" w:rsidP="005A49A9">
      <w:pPr>
        <w:rPr>
          <w:rFonts w:ascii="Arial" w:hAnsi="Arial" w:cs="Arial"/>
          <w:b/>
          <w:bCs/>
        </w:rPr>
      </w:pPr>
    </w:p>
    <w:p w14:paraId="7B0E556E" w14:textId="77777777" w:rsidR="005A49A9" w:rsidRDefault="005A49A9" w:rsidP="005A49A9">
      <w:pPr>
        <w:numPr>
          <w:ilvl w:val="0"/>
          <w:numId w:val="7"/>
        </w:numPr>
        <w:spacing w:before="0" w:after="0"/>
        <w:rPr>
          <w:rFonts w:ascii="Arial" w:hAnsi="Arial" w:cs="Arial"/>
          <w:b/>
          <w:bCs/>
        </w:rPr>
      </w:pPr>
      <w:r>
        <w:rPr>
          <w:rFonts w:ascii="Arial" w:hAnsi="Arial" w:cs="Arial"/>
          <w:b/>
          <w:bCs/>
        </w:rPr>
        <w:t>Responsibilities of clinicians involved</w:t>
      </w:r>
    </w:p>
    <w:p w14:paraId="6FF067E0" w14:textId="77777777" w:rsidR="005A49A9" w:rsidRDefault="005A49A9" w:rsidP="005A49A9">
      <w:pPr>
        <w:rPr>
          <w:rFonts w:ascii="Arial" w:hAnsi="Arial" w:cs="Arial"/>
          <w:b/>
          <w:bCs/>
        </w:rPr>
      </w:pPr>
    </w:p>
    <w:tbl>
      <w:tblPr>
        <w:tblW w:w="10440" w:type="dxa"/>
        <w:tblInd w:w="-9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4853"/>
        <w:gridCol w:w="3787"/>
      </w:tblGrid>
      <w:tr w:rsidR="005A49A9" w14:paraId="0C067BEC" w14:textId="77777777" w:rsidTr="00EE5877">
        <w:tc>
          <w:tcPr>
            <w:tcW w:w="1800" w:type="dxa"/>
            <w:tcBorders>
              <w:top w:val="single" w:sz="4" w:space="0" w:color="auto"/>
              <w:left w:val="single" w:sz="4" w:space="0" w:color="auto"/>
              <w:bottom w:val="single" w:sz="4" w:space="0" w:color="auto"/>
              <w:right w:val="single" w:sz="4" w:space="0" w:color="auto"/>
            </w:tcBorders>
          </w:tcPr>
          <w:p w14:paraId="74CDF395" w14:textId="77777777" w:rsidR="005A49A9" w:rsidRDefault="005A49A9" w:rsidP="00EE5877">
            <w:pPr>
              <w:rPr>
                <w:rFonts w:ascii="Arial" w:hAnsi="Arial" w:cs="Arial"/>
                <w:b/>
                <w:bCs/>
              </w:rPr>
            </w:pPr>
            <w:r>
              <w:rPr>
                <w:rFonts w:ascii="Arial" w:hAnsi="Arial" w:cs="Arial"/>
                <w:b/>
                <w:bCs/>
              </w:rPr>
              <w:t>Stage of Treatment</w:t>
            </w:r>
          </w:p>
        </w:tc>
        <w:tc>
          <w:tcPr>
            <w:tcW w:w="4853" w:type="dxa"/>
            <w:tcBorders>
              <w:top w:val="single" w:sz="4" w:space="0" w:color="auto"/>
              <w:left w:val="single" w:sz="4" w:space="0" w:color="auto"/>
              <w:bottom w:val="single" w:sz="4" w:space="0" w:color="auto"/>
              <w:right w:val="single" w:sz="4" w:space="0" w:color="auto"/>
            </w:tcBorders>
          </w:tcPr>
          <w:p w14:paraId="1C069B09" w14:textId="77777777" w:rsidR="005A49A9" w:rsidRDefault="005A49A9" w:rsidP="00EE5877">
            <w:pPr>
              <w:rPr>
                <w:rFonts w:ascii="Arial" w:hAnsi="Arial" w:cs="Arial"/>
                <w:b/>
                <w:bCs/>
              </w:rPr>
            </w:pPr>
            <w:r>
              <w:rPr>
                <w:rFonts w:ascii="Arial" w:hAnsi="Arial" w:cs="Arial"/>
                <w:b/>
                <w:bCs/>
              </w:rPr>
              <w:t>Hospital Specialist</w:t>
            </w:r>
          </w:p>
        </w:tc>
        <w:tc>
          <w:tcPr>
            <w:tcW w:w="3787" w:type="dxa"/>
            <w:tcBorders>
              <w:top w:val="single" w:sz="4" w:space="0" w:color="auto"/>
              <w:left w:val="single" w:sz="4" w:space="0" w:color="auto"/>
              <w:bottom w:val="single" w:sz="4" w:space="0" w:color="auto"/>
              <w:right w:val="single" w:sz="4" w:space="0" w:color="auto"/>
            </w:tcBorders>
          </w:tcPr>
          <w:p w14:paraId="44765E25" w14:textId="77777777" w:rsidR="005A49A9" w:rsidRDefault="005A49A9" w:rsidP="00EE5877">
            <w:pPr>
              <w:rPr>
                <w:rFonts w:ascii="Arial" w:hAnsi="Arial" w:cs="Arial"/>
                <w:b/>
                <w:bCs/>
              </w:rPr>
            </w:pPr>
            <w:r>
              <w:rPr>
                <w:rFonts w:ascii="Arial" w:hAnsi="Arial" w:cs="Arial"/>
                <w:b/>
                <w:bCs/>
              </w:rPr>
              <w:t>General Practitioner</w:t>
            </w:r>
          </w:p>
        </w:tc>
      </w:tr>
      <w:tr w:rsidR="005A49A9" w14:paraId="648BE075" w14:textId="77777777" w:rsidTr="00EE5877">
        <w:tc>
          <w:tcPr>
            <w:tcW w:w="1800" w:type="dxa"/>
            <w:tcBorders>
              <w:top w:val="single" w:sz="4" w:space="0" w:color="auto"/>
              <w:left w:val="single" w:sz="4" w:space="0" w:color="auto"/>
              <w:bottom w:val="single" w:sz="4" w:space="0" w:color="auto"/>
              <w:right w:val="single" w:sz="4" w:space="0" w:color="auto"/>
            </w:tcBorders>
          </w:tcPr>
          <w:p w14:paraId="6FCCD556" w14:textId="77777777" w:rsidR="005A49A9" w:rsidRDefault="005A49A9" w:rsidP="00EE5877">
            <w:pPr>
              <w:rPr>
                <w:rFonts w:ascii="Arial" w:hAnsi="Arial" w:cs="Arial"/>
              </w:rPr>
            </w:pPr>
            <w:r>
              <w:rPr>
                <w:rFonts w:ascii="Arial" w:hAnsi="Arial" w:cs="Arial"/>
              </w:rPr>
              <w:t>Initiation</w:t>
            </w:r>
          </w:p>
        </w:tc>
        <w:tc>
          <w:tcPr>
            <w:tcW w:w="4853" w:type="dxa"/>
            <w:tcBorders>
              <w:top w:val="single" w:sz="4" w:space="0" w:color="auto"/>
              <w:left w:val="single" w:sz="4" w:space="0" w:color="auto"/>
              <w:bottom w:val="single" w:sz="4" w:space="0" w:color="auto"/>
              <w:right w:val="single" w:sz="4" w:space="0" w:color="auto"/>
            </w:tcBorders>
          </w:tcPr>
          <w:p w14:paraId="202144D2" w14:textId="77777777" w:rsidR="005A49A9" w:rsidRDefault="005A49A9" w:rsidP="00EE5877">
            <w:pPr>
              <w:jc w:val="both"/>
              <w:rPr>
                <w:rFonts w:ascii="Arial" w:hAnsi="Arial" w:cs="Arial"/>
              </w:rPr>
            </w:pPr>
            <w:r>
              <w:rPr>
                <w:rFonts w:ascii="Arial" w:hAnsi="Arial" w:cs="Arial"/>
              </w:rPr>
              <w:t>Select patients appropriate for treatment.</w:t>
            </w:r>
          </w:p>
          <w:p w14:paraId="3759FA71" w14:textId="77777777" w:rsidR="005A49A9" w:rsidRDefault="005A49A9" w:rsidP="00EE5877">
            <w:pPr>
              <w:jc w:val="both"/>
              <w:rPr>
                <w:rFonts w:ascii="Arial" w:hAnsi="Arial" w:cs="Arial"/>
              </w:rPr>
            </w:pPr>
          </w:p>
          <w:p w14:paraId="11E985D7" w14:textId="77777777" w:rsidR="005A49A9" w:rsidRDefault="005A49A9" w:rsidP="00EE5877">
            <w:pPr>
              <w:jc w:val="both"/>
              <w:rPr>
                <w:rFonts w:ascii="Arial" w:hAnsi="Arial" w:cs="Arial"/>
              </w:rPr>
            </w:pPr>
            <w:r>
              <w:rPr>
                <w:rFonts w:ascii="Arial" w:hAnsi="Arial" w:cs="Arial"/>
              </w:rPr>
              <w:t>Inform patient of risks and benefits of treatment and supply arrangements.</w:t>
            </w:r>
          </w:p>
          <w:p w14:paraId="46C032D7" w14:textId="77777777" w:rsidR="005A49A9" w:rsidRDefault="005A49A9" w:rsidP="00EE5877">
            <w:pPr>
              <w:rPr>
                <w:rFonts w:ascii="Arial" w:hAnsi="Arial" w:cs="Arial"/>
              </w:rPr>
            </w:pPr>
          </w:p>
          <w:p w14:paraId="566B429D" w14:textId="77777777" w:rsidR="005A49A9" w:rsidRDefault="005A49A9" w:rsidP="00EE5877">
            <w:pPr>
              <w:rPr>
                <w:rFonts w:ascii="Arial" w:hAnsi="Arial" w:cs="Arial"/>
              </w:rPr>
            </w:pPr>
            <w:r w:rsidRPr="00D140F6">
              <w:rPr>
                <w:rFonts w:ascii="Arial" w:hAnsi="Arial" w:cs="Arial"/>
              </w:rPr>
              <w:t>Arrange for baseline ECG</w:t>
            </w:r>
            <w:r>
              <w:rPr>
                <w:rFonts w:ascii="Arial" w:hAnsi="Arial" w:cs="Arial"/>
              </w:rPr>
              <w:t xml:space="preserve"> and interpret ECG.  P</w:t>
            </w:r>
            <w:r w:rsidRPr="00477052">
              <w:rPr>
                <w:rFonts w:ascii="Arial" w:hAnsi="Arial" w:cs="Arial"/>
              </w:rPr>
              <w:t xml:space="preserve">atients with abnormal findings should receive further specialist evaluation and treatment before modafinil treatment is considered, </w:t>
            </w:r>
            <w:proofErr w:type="gramStart"/>
            <w:r w:rsidRPr="00477052">
              <w:rPr>
                <w:rFonts w:ascii="Arial" w:hAnsi="Arial" w:cs="Arial"/>
              </w:rPr>
              <w:t>e.g.</w:t>
            </w:r>
            <w:proofErr w:type="gramEnd"/>
            <w:r w:rsidRPr="00477052">
              <w:rPr>
                <w:rFonts w:ascii="Arial" w:hAnsi="Arial" w:cs="Arial"/>
              </w:rPr>
              <w:t xml:space="preserve"> by referral to a cardiologist where necessar</w:t>
            </w:r>
            <w:r>
              <w:rPr>
                <w:rFonts w:ascii="Arial" w:hAnsi="Arial" w:cs="Arial"/>
              </w:rPr>
              <w:t>y</w:t>
            </w:r>
          </w:p>
          <w:p w14:paraId="6BE75913" w14:textId="77777777" w:rsidR="005A49A9" w:rsidRDefault="005A49A9" w:rsidP="00EE5877">
            <w:pPr>
              <w:rPr>
                <w:rFonts w:ascii="Arial" w:hAnsi="Arial" w:cs="Arial"/>
              </w:rPr>
            </w:pPr>
          </w:p>
          <w:p w14:paraId="25511827" w14:textId="77777777" w:rsidR="005A49A9" w:rsidRDefault="005A49A9" w:rsidP="00EE5877">
            <w:pPr>
              <w:rPr>
                <w:rFonts w:ascii="Arial" w:hAnsi="Arial" w:cs="Arial"/>
                <w:lang w:val="en-US"/>
              </w:rPr>
            </w:pPr>
            <w:r>
              <w:rPr>
                <w:rFonts w:ascii="Arial" w:hAnsi="Arial" w:cs="Arial"/>
                <w:lang w:val="en-US"/>
              </w:rPr>
              <w:t>Check baseline LFTs, blood pressure and heart rate</w:t>
            </w:r>
          </w:p>
          <w:p w14:paraId="33185986" w14:textId="77777777" w:rsidR="005A49A9" w:rsidRDefault="005A49A9" w:rsidP="00EE5877">
            <w:pPr>
              <w:rPr>
                <w:rFonts w:ascii="Arial" w:hAnsi="Arial" w:cs="Arial"/>
              </w:rPr>
            </w:pPr>
          </w:p>
          <w:p w14:paraId="482F3CDA" w14:textId="77777777" w:rsidR="005A49A9" w:rsidRDefault="005A49A9" w:rsidP="00EE5877">
            <w:pPr>
              <w:rPr>
                <w:rFonts w:ascii="Arial" w:hAnsi="Arial" w:cs="Arial"/>
              </w:rPr>
            </w:pPr>
            <w:r>
              <w:rPr>
                <w:rFonts w:ascii="Arial" w:hAnsi="Arial" w:cs="Arial"/>
              </w:rPr>
              <w:t>Prescribe and assess patient’s response until dose stabilised.</w:t>
            </w:r>
          </w:p>
          <w:p w14:paraId="573E427F" w14:textId="77777777" w:rsidR="005A49A9" w:rsidRDefault="005A49A9" w:rsidP="00EE5877">
            <w:pPr>
              <w:rPr>
                <w:rFonts w:ascii="Arial" w:hAnsi="Arial" w:cs="Arial"/>
              </w:rPr>
            </w:pPr>
          </w:p>
          <w:p w14:paraId="0A89F109" w14:textId="77777777" w:rsidR="005A49A9" w:rsidRDefault="005A49A9" w:rsidP="00EE5877">
            <w:pPr>
              <w:rPr>
                <w:rFonts w:ascii="Arial" w:hAnsi="Arial" w:cs="Arial"/>
                <w:lang w:val="en-US"/>
              </w:rPr>
            </w:pPr>
            <w:r>
              <w:rPr>
                <w:rFonts w:ascii="Arial" w:hAnsi="Arial" w:cs="Arial"/>
                <w:lang w:val="en-US"/>
              </w:rPr>
              <w:t>Contact the GP to invite shared care for the patient and provide information on treatment.</w:t>
            </w:r>
          </w:p>
          <w:p w14:paraId="68F09326" w14:textId="77777777" w:rsidR="005A49A9" w:rsidRDefault="005A49A9" w:rsidP="00EE5877">
            <w:pPr>
              <w:rPr>
                <w:rFonts w:ascii="Arial" w:hAnsi="Arial" w:cs="Arial"/>
              </w:rPr>
            </w:pPr>
          </w:p>
        </w:tc>
        <w:tc>
          <w:tcPr>
            <w:tcW w:w="3787" w:type="dxa"/>
            <w:tcBorders>
              <w:top w:val="single" w:sz="4" w:space="0" w:color="auto"/>
              <w:left w:val="single" w:sz="4" w:space="0" w:color="auto"/>
              <w:bottom w:val="single" w:sz="4" w:space="0" w:color="auto"/>
              <w:right w:val="single" w:sz="4" w:space="0" w:color="auto"/>
            </w:tcBorders>
          </w:tcPr>
          <w:p w14:paraId="704A1170" w14:textId="77777777" w:rsidR="005A49A9" w:rsidRDefault="005A49A9" w:rsidP="00EE5877">
            <w:pPr>
              <w:rPr>
                <w:rFonts w:ascii="Arial" w:hAnsi="Arial" w:cs="Arial"/>
              </w:rPr>
            </w:pPr>
          </w:p>
        </w:tc>
      </w:tr>
      <w:tr w:rsidR="005A49A9" w14:paraId="0CECE1EF" w14:textId="77777777" w:rsidTr="00EE5877">
        <w:tc>
          <w:tcPr>
            <w:tcW w:w="1800" w:type="dxa"/>
            <w:tcBorders>
              <w:top w:val="single" w:sz="4" w:space="0" w:color="auto"/>
              <w:left w:val="single" w:sz="4" w:space="0" w:color="auto"/>
              <w:bottom w:val="single" w:sz="4" w:space="0" w:color="auto"/>
              <w:right w:val="single" w:sz="4" w:space="0" w:color="auto"/>
            </w:tcBorders>
          </w:tcPr>
          <w:p w14:paraId="652EE28F" w14:textId="77777777" w:rsidR="005A49A9" w:rsidRDefault="005A49A9" w:rsidP="00EE5877">
            <w:pPr>
              <w:rPr>
                <w:rFonts w:ascii="Arial" w:hAnsi="Arial" w:cs="Arial"/>
              </w:rPr>
            </w:pPr>
            <w:r>
              <w:rPr>
                <w:rFonts w:ascii="Arial" w:hAnsi="Arial" w:cs="Arial"/>
              </w:rPr>
              <w:t xml:space="preserve">Maintenance </w:t>
            </w:r>
          </w:p>
        </w:tc>
        <w:tc>
          <w:tcPr>
            <w:tcW w:w="4853" w:type="dxa"/>
            <w:tcBorders>
              <w:top w:val="single" w:sz="4" w:space="0" w:color="auto"/>
              <w:left w:val="single" w:sz="4" w:space="0" w:color="auto"/>
              <w:bottom w:val="single" w:sz="4" w:space="0" w:color="auto"/>
              <w:right w:val="single" w:sz="4" w:space="0" w:color="auto"/>
            </w:tcBorders>
          </w:tcPr>
          <w:p w14:paraId="52B68408" w14:textId="77777777" w:rsidR="005A49A9" w:rsidRDefault="005A49A9" w:rsidP="00EE5877">
            <w:pPr>
              <w:rPr>
                <w:rFonts w:ascii="Arial" w:hAnsi="Arial" w:cs="Arial"/>
              </w:rPr>
            </w:pPr>
            <w:r>
              <w:rPr>
                <w:rFonts w:ascii="Arial" w:hAnsi="Arial" w:cs="Arial"/>
              </w:rPr>
              <w:t>Assess clinical response to treatment</w:t>
            </w:r>
          </w:p>
          <w:p w14:paraId="3EF3F8F4" w14:textId="77777777" w:rsidR="005A49A9" w:rsidRDefault="005A49A9" w:rsidP="00EE5877">
            <w:pPr>
              <w:rPr>
                <w:rFonts w:ascii="Arial" w:hAnsi="Arial" w:cs="Arial"/>
              </w:rPr>
            </w:pPr>
          </w:p>
          <w:p w14:paraId="30A27E82" w14:textId="77777777" w:rsidR="005A49A9" w:rsidRDefault="005A49A9" w:rsidP="00EE5877">
            <w:pPr>
              <w:rPr>
                <w:rFonts w:ascii="Arial" w:hAnsi="Arial" w:cs="Arial"/>
              </w:rPr>
            </w:pPr>
            <w:r>
              <w:rPr>
                <w:rFonts w:ascii="Arial" w:hAnsi="Arial" w:cs="Arial"/>
              </w:rPr>
              <w:t>Provide adequate advice and support to GPs</w:t>
            </w:r>
          </w:p>
          <w:p w14:paraId="64DC2135" w14:textId="77777777" w:rsidR="005A49A9" w:rsidRDefault="005A49A9" w:rsidP="00EE5877">
            <w:pPr>
              <w:rPr>
                <w:rFonts w:ascii="Arial" w:hAnsi="Arial" w:cs="Arial"/>
              </w:rPr>
            </w:pPr>
          </w:p>
          <w:p w14:paraId="6BF2E23E" w14:textId="77777777" w:rsidR="005A49A9" w:rsidRDefault="005A49A9" w:rsidP="00EE5877">
            <w:pPr>
              <w:rPr>
                <w:rFonts w:ascii="Arial" w:hAnsi="Arial" w:cs="Arial"/>
              </w:rPr>
            </w:pPr>
            <w:r>
              <w:rPr>
                <w:rFonts w:ascii="Arial" w:hAnsi="Arial" w:cs="Arial"/>
              </w:rPr>
              <w:t>Inform GP of dose amendments if appropriate</w:t>
            </w:r>
          </w:p>
        </w:tc>
        <w:tc>
          <w:tcPr>
            <w:tcW w:w="3787" w:type="dxa"/>
            <w:tcBorders>
              <w:top w:val="single" w:sz="4" w:space="0" w:color="auto"/>
              <w:left w:val="single" w:sz="4" w:space="0" w:color="auto"/>
              <w:bottom w:val="single" w:sz="4" w:space="0" w:color="auto"/>
              <w:right w:val="single" w:sz="4" w:space="0" w:color="auto"/>
            </w:tcBorders>
          </w:tcPr>
          <w:p w14:paraId="5FDE4541" w14:textId="77777777" w:rsidR="005A49A9" w:rsidRDefault="005A49A9" w:rsidP="00EE5877">
            <w:pPr>
              <w:rPr>
                <w:rFonts w:ascii="Arial" w:hAnsi="Arial" w:cs="Arial"/>
              </w:rPr>
            </w:pPr>
            <w:r>
              <w:rPr>
                <w:rFonts w:ascii="Arial" w:hAnsi="Arial" w:cs="Arial"/>
              </w:rPr>
              <w:t>Prescribe treatment once stabilised.</w:t>
            </w:r>
          </w:p>
          <w:p w14:paraId="6D13BBA2" w14:textId="77777777" w:rsidR="005A49A9" w:rsidRDefault="005A49A9" w:rsidP="00EE5877">
            <w:pPr>
              <w:rPr>
                <w:rFonts w:ascii="Arial" w:hAnsi="Arial" w:cs="Arial"/>
              </w:rPr>
            </w:pPr>
          </w:p>
          <w:p w14:paraId="29121AB5" w14:textId="77777777" w:rsidR="005A49A9" w:rsidRDefault="005A49A9" w:rsidP="00EE5877">
            <w:pPr>
              <w:rPr>
                <w:rFonts w:ascii="Arial" w:hAnsi="Arial" w:cs="Arial"/>
              </w:rPr>
            </w:pPr>
            <w:r>
              <w:rPr>
                <w:rFonts w:ascii="Arial" w:hAnsi="Arial" w:cs="Arial"/>
              </w:rPr>
              <w:t>Monitor patient for efficacy.</w:t>
            </w:r>
          </w:p>
          <w:p w14:paraId="3697581D" w14:textId="77777777" w:rsidR="005A49A9" w:rsidRDefault="005A49A9" w:rsidP="00EE5877">
            <w:pPr>
              <w:rPr>
                <w:rFonts w:ascii="Arial" w:hAnsi="Arial" w:cs="Arial"/>
              </w:rPr>
            </w:pPr>
            <w:r>
              <w:rPr>
                <w:rFonts w:ascii="Arial" w:hAnsi="Arial" w:cs="Arial"/>
              </w:rPr>
              <w:t>Monitor for adverse effects.</w:t>
            </w:r>
          </w:p>
          <w:p w14:paraId="671C1983" w14:textId="77777777" w:rsidR="005A49A9" w:rsidRDefault="005A49A9" w:rsidP="00EE5877">
            <w:pPr>
              <w:rPr>
                <w:rFonts w:ascii="Arial" w:hAnsi="Arial" w:cs="Arial"/>
              </w:rPr>
            </w:pPr>
          </w:p>
          <w:p w14:paraId="3C0BB3A5" w14:textId="77777777" w:rsidR="005A49A9" w:rsidRDefault="005A49A9" w:rsidP="00EE5877">
            <w:pPr>
              <w:rPr>
                <w:rFonts w:ascii="Arial" w:hAnsi="Arial" w:cs="Arial"/>
              </w:rPr>
            </w:pPr>
            <w:r>
              <w:rPr>
                <w:rFonts w:ascii="Arial" w:hAnsi="Arial" w:cs="Arial"/>
              </w:rPr>
              <w:t>Refer to specialist where appropriate</w:t>
            </w:r>
          </w:p>
          <w:p w14:paraId="27F7A0DA" w14:textId="77777777" w:rsidR="005A49A9" w:rsidRDefault="005A49A9" w:rsidP="00EE5877">
            <w:pPr>
              <w:rPr>
                <w:rFonts w:ascii="Arial" w:hAnsi="Arial" w:cs="Arial"/>
              </w:rPr>
            </w:pPr>
          </w:p>
          <w:p w14:paraId="61E291DA" w14:textId="77777777" w:rsidR="005A49A9" w:rsidRDefault="005A49A9" w:rsidP="00EE5877">
            <w:pPr>
              <w:rPr>
                <w:rFonts w:ascii="Arial" w:hAnsi="Arial" w:cs="Arial"/>
                <w:color w:val="000000"/>
              </w:rPr>
            </w:pPr>
            <w:r>
              <w:rPr>
                <w:rFonts w:ascii="Arial" w:hAnsi="Arial" w:cs="Arial"/>
              </w:rPr>
              <w:t xml:space="preserve">Check BP, heart rate and LFTs 6/12 when on stable dosing.  See </w:t>
            </w:r>
            <w:r>
              <w:rPr>
                <w:rFonts w:ascii="Arial" w:hAnsi="Arial" w:cs="Arial"/>
              </w:rPr>
              <w:lastRenderedPageBreak/>
              <w:t xml:space="preserve">adverse effects section for advice on what to do if </w:t>
            </w:r>
          </w:p>
          <w:p w14:paraId="4C023D0C" w14:textId="77777777" w:rsidR="005A49A9" w:rsidRDefault="005A49A9" w:rsidP="00EE5877">
            <w:pPr>
              <w:rPr>
                <w:rFonts w:ascii="Arial" w:hAnsi="Arial" w:cs="Arial"/>
              </w:rPr>
            </w:pPr>
          </w:p>
        </w:tc>
      </w:tr>
    </w:tbl>
    <w:p w14:paraId="76A448DD" w14:textId="77777777" w:rsidR="005A49A9" w:rsidRDefault="005A49A9" w:rsidP="005A49A9">
      <w:pPr>
        <w:rPr>
          <w:rFonts w:ascii="Arial" w:hAnsi="Arial" w:cs="Arial"/>
        </w:rPr>
      </w:pPr>
    </w:p>
    <w:p w14:paraId="178C4B96" w14:textId="77777777" w:rsidR="005A49A9" w:rsidRPr="00FB684B" w:rsidRDefault="005A49A9" w:rsidP="005A49A9">
      <w:pPr>
        <w:rPr>
          <w:rFonts w:ascii="Arial" w:hAnsi="Arial" w:cs="Arial"/>
          <w:b/>
        </w:rPr>
      </w:pPr>
      <w:r w:rsidRPr="00FB684B">
        <w:rPr>
          <w:rFonts w:ascii="Arial" w:hAnsi="Arial" w:cs="Arial"/>
          <w:b/>
        </w:rPr>
        <w:t>Contact Details:</w:t>
      </w:r>
    </w:p>
    <w:p w14:paraId="7C3C725C" w14:textId="77777777" w:rsidR="005A49A9" w:rsidRPr="00FB684B" w:rsidRDefault="005A49A9" w:rsidP="005A49A9">
      <w:pPr>
        <w:rPr>
          <w:rFonts w:ascii="Arial" w:hAnsi="Arial" w:cs="Arial"/>
        </w:rPr>
      </w:pPr>
    </w:p>
    <w:p w14:paraId="35FC2E75" w14:textId="77777777" w:rsidR="005A49A9" w:rsidRPr="00FB684B" w:rsidRDefault="005A49A9" w:rsidP="005A49A9">
      <w:pPr>
        <w:jc w:val="both"/>
        <w:rPr>
          <w:rFonts w:ascii="Arial" w:hAnsi="Arial" w:cs="Arial"/>
        </w:rPr>
      </w:pPr>
    </w:p>
    <w:p w14:paraId="268EFBDF" w14:textId="77777777" w:rsidR="005A49A9" w:rsidRPr="00FB684B" w:rsidRDefault="005A49A9" w:rsidP="005A49A9">
      <w:pPr>
        <w:rPr>
          <w:rFonts w:ascii="Arial" w:hAnsi="Arial" w:cs="Arial"/>
        </w:rPr>
      </w:pPr>
      <w:r w:rsidRPr="00FB684B">
        <w:rPr>
          <w:rFonts w:ascii="Arial" w:hAnsi="Arial" w:cs="Arial"/>
        </w:rPr>
        <w:t xml:space="preserve">During office hours: </w:t>
      </w:r>
    </w:p>
    <w:p w14:paraId="56616AC9" w14:textId="77777777" w:rsidR="005A49A9" w:rsidRPr="00FB684B" w:rsidRDefault="005A49A9" w:rsidP="005A49A9">
      <w:pPr>
        <w:rPr>
          <w:rFonts w:ascii="Arial" w:hAnsi="Arial" w:cs="Arial"/>
        </w:rPr>
      </w:pPr>
      <w:r w:rsidRPr="00FB684B">
        <w:rPr>
          <w:rFonts w:ascii="Arial" w:hAnsi="Arial" w:cs="Arial"/>
        </w:rPr>
        <w:tab/>
        <w:t xml:space="preserve">Neurology specialist pharmacist </w:t>
      </w:r>
    </w:p>
    <w:p w14:paraId="724A7383" w14:textId="77777777" w:rsidR="005A49A9" w:rsidRDefault="005A49A9" w:rsidP="005A49A9">
      <w:pPr>
        <w:ind w:left="720" w:firstLine="720"/>
        <w:rPr>
          <w:rFonts w:ascii="Arial" w:hAnsi="Arial" w:cs="Arial"/>
        </w:rPr>
      </w:pPr>
      <w:r>
        <w:rPr>
          <w:rFonts w:ascii="Arial" w:hAnsi="Arial" w:cs="Arial"/>
        </w:rPr>
        <w:t xml:space="preserve">Priscilla </w:t>
      </w:r>
      <w:proofErr w:type="spellStart"/>
      <w:r>
        <w:rPr>
          <w:rFonts w:ascii="Arial" w:hAnsi="Arial" w:cs="Arial"/>
        </w:rPr>
        <w:t>Kanyoka</w:t>
      </w:r>
      <w:proofErr w:type="spellEnd"/>
      <w:r>
        <w:rPr>
          <w:rFonts w:ascii="Arial" w:hAnsi="Arial" w:cs="Arial"/>
        </w:rPr>
        <w:t xml:space="preserve"> </w:t>
      </w:r>
      <w:r>
        <w:rPr>
          <w:rFonts w:ascii="Arial" w:hAnsi="Arial" w:cs="Arial"/>
        </w:rPr>
        <w:tab/>
      </w:r>
      <w:r>
        <w:rPr>
          <w:rFonts w:ascii="Arial" w:hAnsi="Arial" w:cs="Arial"/>
        </w:rPr>
        <w:tab/>
        <w:t>01482 311679</w:t>
      </w:r>
    </w:p>
    <w:p w14:paraId="2D3E6845" w14:textId="77777777" w:rsidR="005A49A9" w:rsidRDefault="005A49A9" w:rsidP="005A49A9">
      <w:pPr>
        <w:ind w:left="720" w:firstLine="720"/>
        <w:rPr>
          <w:rFonts w:ascii="Arial" w:hAnsi="Arial" w:cs="Arial"/>
        </w:rPr>
      </w:pPr>
      <w:r>
        <w:rPr>
          <w:rFonts w:ascii="Arial" w:hAnsi="Arial" w:cs="Arial"/>
        </w:rPr>
        <w:t>Jane Morgan</w:t>
      </w:r>
      <w:r>
        <w:rPr>
          <w:rFonts w:ascii="Arial" w:hAnsi="Arial" w:cs="Arial"/>
        </w:rPr>
        <w:tab/>
      </w:r>
      <w:r>
        <w:rPr>
          <w:rFonts w:ascii="Arial" w:hAnsi="Arial" w:cs="Arial"/>
        </w:rPr>
        <w:tab/>
      </w:r>
      <w:r>
        <w:rPr>
          <w:rFonts w:ascii="Arial" w:hAnsi="Arial" w:cs="Arial"/>
        </w:rPr>
        <w:tab/>
        <w:t>01482 461519</w:t>
      </w:r>
    </w:p>
    <w:p w14:paraId="4E32E653" w14:textId="77777777" w:rsidR="005A49A9" w:rsidRPr="00FB684B" w:rsidRDefault="005A49A9" w:rsidP="005A49A9">
      <w:pPr>
        <w:ind w:left="720" w:firstLine="720"/>
        <w:rPr>
          <w:rFonts w:ascii="Arial" w:hAnsi="Arial" w:cs="Arial"/>
        </w:rPr>
      </w:pPr>
      <w:r w:rsidRPr="00FB684B">
        <w:rPr>
          <w:rFonts w:ascii="Arial" w:hAnsi="Arial" w:cs="Arial"/>
        </w:rPr>
        <w:tab/>
        <w:t>Consultant neurologist</w:t>
      </w:r>
    </w:p>
    <w:p w14:paraId="11BACE07" w14:textId="77777777" w:rsidR="005A49A9" w:rsidRPr="00FB684B" w:rsidRDefault="005A49A9" w:rsidP="005A49A9">
      <w:pPr>
        <w:rPr>
          <w:rFonts w:ascii="Arial" w:hAnsi="Arial" w:cs="Arial"/>
        </w:rPr>
      </w:pPr>
      <w:r w:rsidRPr="00FB684B">
        <w:rPr>
          <w:rFonts w:ascii="Arial" w:hAnsi="Arial" w:cs="Arial"/>
        </w:rPr>
        <w:tab/>
      </w:r>
      <w:r w:rsidRPr="00FB684B">
        <w:rPr>
          <w:rFonts w:ascii="Arial" w:hAnsi="Arial" w:cs="Arial"/>
        </w:rPr>
        <w:tab/>
        <w:t>As per clinic letter</w:t>
      </w:r>
      <w:r w:rsidRPr="00FB684B">
        <w:rPr>
          <w:rFonts w:ascii="Arial" w:hAnsi="Arial" w:cs="Arial"/>
        </w:rPr>
        <w:tab/>
      </w:r>
      <w:r w:rsidRPr="00FB684B">
        <w:rPr>
          <w:rFonts w:ascii="Arial" w:hAnsi="Arial" w:cs="Arial"/>
        </w:rPr>
        <w:tab/>
        <w:t>Via switchboard</w:t>
      </w:r>
    </w:p>
    <w:p w14:paraId="467EAE25" w14:textId="77777777" w:rsidR="005A49A9" w:rsidRPr="00FB684B" w:rsidRDefault="005A49A9" w:rsidP="005A49A9">
      <w:pPr>
        <w:rPr>
          <w:rFonts w:ascii="Arial" w:hAnsi="Arial" w:cs="Arial"/>
        </w:rPr>
      </w:pPr>
    </w:p>
    <w:p w14:paraId="04EBA5D9" w14:textId="77777777" w:rsidR="005A49A9" w:rsidRPr="00FB684B" w:rsidRDefault="005A49A9" w:rsidP="005A49A9">
      <w:pPr>
        <w:rPr>
          <w:rFonts w:ascii="Arial" w:hAnsi="Arial" w:cs="Arial"/>
        </w:rPr>
      </w:pPr>
      <w:r w:rsidRPr="00FB684B">
        <w:rPr>
          <w:rFonts w:ascii="Arial" w:hAnsi="Arial" w:cs="Arial"/>
        </w:rPr>
        <w:t>Out of hours:   contact on call registrar for neurology via switchboard</w:t>
      </w:r>
    </w:p>
    <w:p w14:paraId="5F463897" w14:textId="77777777" w:rsidR="005A49A9" w:rsidRDefault="005A49A9" w:rsidP="005A49A9">
      <w:pPr>
        <w:rPr>
          <w:rFonts w:ascii="Arial" w:hAnsi="Arial" w:cs="Arial"/>
        </w:rPr>
      </w:pPr>
    </w:p>
    <w:p w14:paraId="24C67079" w14:textId="1EDBAFF6" w:rsidR="005A49A9" w:rsidRDefault="005A49A9" w:rsidP="005A49A9">
      <w:pPr>
        <w:rPr>
          <w:rFonts w:ascii="Arial" w:hAnsi="Arial" w:cs="Arial"/>
          <w:b/>
        </w:rPr>
      </w:pPr>
    </w:p>
    <w:p w14:paraId="6CFA342D" w14:textId="55B08AF2" w:rsidR="00A01233" w:rsidRDefault="00A01233" w:rsidP="005A49A9">
      <w:pPr>
        <w:rPr>
          <w:rFonts w:ascii="Arial" w:hAnsi="Arial" w:cs="Arial"/>
          <w:b/>
        </w:rPr>
      </w:pPr>
    </w:p>
    <w:p w14:paraId="70CF55A1" w14:textId="77777777" w:rsidR="00A01233" w:rsidRDefault="00A01233" w:rsidP="005A49A9">
      <w:pPr>
        <w:rPr>
          <w:rFonts w:ascii="Arial" w:hAnsi="Arial" w:cs="Arial"/>
          <w:b/>
        </w:rPr>
      </w:pPr>
    </w:p>
    <w:p w14:paraId="6BD5880E" w14:textId="77777777" w:rsidR="005A49A9" w:rsidRDefault="005A49A9" w:rsidP="005A49A9">
      <w:pPr>
        <w:rPr>
          <w:rFonts w:ascii="Arial" w:hAnsi="Arial" w:cs="Arial"/>
          <w:b/>
        </w:rPr>
      </w:pPr>
    </w:p>
    <w:p w14:paraId="79D16077" w14:textId="77777777" w:rsidR="005A49A9" w:rsidRDefault="005A49A9" w:rsidP="005A49A9">
      <w:pPr>
        <w:rPr>
          <w:rFonts w:ascii="Arial" w:hAnsi="Arial" w:cs="Arial"/>
          <w:b/>
        </w:rPr>
      </w:pPr>
    </w:p>
    <w:p w14:paraId="706EBE46" w14:textId="77777777" w:rsidR="005A49A9" w:rsidRDefault="005A49A9" w:rsidP="005A49A9">
      <w:pPr>
        <w:rPr>
          <w:rFonts w:ascii="Arial" w:hAnsi="Arial" w:cs="Arial"/>
          <w:b/>
        </w:rPr>
      </w:pPr>
      <w:r>
        <w:rPr>
          <w:rFonts w:ascii="Arial" w:hAnsi="Arial" w:cs="Arial"/>
          <w:b/>
        </w:rPr>
        <w:t>APPROVAL PROCESS for Shared Care Framework</w:t>
      </w:r>
    </w:p>
    <w:p w14:paraId="638665CF" w14:textId="77777777" w:rsidR="005A49A9" w:rsidRDefault="005A49A9" w:rsidP="005A49A9">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6327"/>
      </w:tblGrid>
      <w:tr w:rsidR="005A49A9" w14:paraId="2A996F4D" w14:textId="77777777" w:rsidTr="00EE5877">
        <w:tc>
          <w:tcPr>
            <w:tcW w:w="2853" w:type="dxa"/>
          </w:tcPr>
          <w:p w14:paraId="35FCA312" w14:textId="77777777" w:rsidR="005A49A9" w:rsidRDefault="005A49A9" w:rsidP="00EE5877">
            <w:pPr>
              <w:rPr>
                <w:rFonts w:ascii="Arial" w:hAnsi="Arial" w:cs="Arial"/>
                <w:b/>
              </w:rPr>
            </w:pPr>
            <w:r>
              <w:rPr>
                <w:rFonts w:ascii="Arial" w:hAnsi="Arial" w:cs="Arial"/>
                <w:b/>
              </w:rPr>
              <w:t>Written by:</w:t>
            </w:r>
          </w:p>
        </w:tc>
        <w:tc>
          <w:tcPr>
            <w:tcW w:w="6327" w:type="dxa"/>
          </w:tcPr>
          <w:p w14:paraId="3808C075" w14:textId="77777777" w:rsidR="005A49A9" w:rsidRDefault="005A49A9" w:rsidP="00EE5877">
            <w:pPr>
              <w:rPr>
                <w:rFonts w:ascii="Arial" w:hAnsi="Arial" w:cs="Arial"/>
                <w:b/>
              </w:rPr>
            </w:pPr>
            <w:r>
              <w:rPr>
                <w:rFonts w:ascii="Arial" w:hAnsi="Arial" w:cs="Arial"/>
                <w:b/>
              </w:rPr>
              <w:t>Marie Miller, Interface Pharmacist</w:t>
            </w:r>
          </w:p>
          <w:p w14:paraId="42CC16F4" w14:textId="77777777" w:rsidR="005A49A9" w:rsidRDefault="005A49A9" w:rsidP="00EE5877">
            <w:pPr>
              <w:rPr>
                <w:rFonts w:ascii="Arial" w:hAnsi="Arial" w:cs="Arial"/>
                <w:b/>
              </w:rPr>
            </w:pPr>
            <w:r w:rsidRPr="00D140F6">
              <w:rPr>
                <w:rFonts w:ascii="Arial" w:hAnsi="Arial" w:cs="Arial"/>
                <w:b/>
              </w:rPr>
              <w:t>Reviewed Jane Morgan, Neurology Specialist Pharmacist, Dec 2013</w:t>
            </w:r>
            <w:r>
              <w:rPr>
                <w:rFonts w:ascii="Arial" w:hAnsi="Arial" w:cs="Arial"/>
                <w:b/>
              </w:rPr>
              <w:t xml:space="preserve"> and Nov 2017 and Nov 2020</w:t>
            </w:r>
          </w:p>
        </w:tc>
      </w:tr>
      <w:tr w:rsidR="005A49A9" w14:paraId="124DE075" w14:textId="77777777" w:rsidTr="00EE5877">
        <w:tc>
          <w:tcPr>
            <w:tcW w:w="2853" w:type="dxa"/>
          </w:tcPr>
          <w:p w14:paraId="5B4F9C96" w14:textId="77777777" w:rsidR="005A49A9" w:rsidRDefault="005A49A9" w:rsidP="00EE5877">
            <w:pPr>
              <w:rPr>
                <w:rFonts w:ascii="Arial" w:hAnsi="Arial" w:cs="Arial"/>
                <w:b/>
              </w:rPr>
            </w:pPr>
            <w:r>
              <w:rPr>
                <w:rFonts w:ascii="Arial" w:hAnsi="Arial" w:cs="Arial"/>
                <w:b/>
              </w:rPr>
              <w:t>Consultation process:</w:t>
            </w:r>
          </w:p>
        </w:tc>
        <w:tc>
          <w:tcPr>
            <w:tcW w:w="6327" w:type="dxa"/>
          </w:tcPr>
          <w:p w14:paraId="18370880" w14:textId="77777777" w:rsidR="005A49A9" w:rsidRDefault="005A49A9" w:rsidP="00EE5877">
            <w:pPr>
              <w:rPr>
                <w:rFonts w:ascii="Arial" w:hAnsi="Arial" w:cs="Arial"/>
                <w:b/>
              </w:rPr>
            </w:pPr>
            <w:r>
              <w:rPr>
                <w:rFonts w:ascii="Arial" w:hAnsi="Arial" w:cs="Arial"/>
                <w:b/>
              </w:rPr>
              <w:t>Dr A Ming, Consultant Neurologist</w:t>
            </w:r>
          </w:p>
        </w:tc>
      </w:tr>
      <w:tr w:rsidR="005A49A9" w14:paraId="05F97A51" w14:textId="77777777" w:rsidTr="00EE5877">
        <w:tc>
          <w:tcPr>
            <w:tcW w:w="2853" w:type="dxa"/>
          </w:tcPr>
          <w:p w14:paraId="50A8A6B2" w14:textId="77777777" w:rsidR="005A49A9" w:rsidRDefault="005A49A9" w:rsidP="00EE5877">
            <w:pPr>
              <w:rPr>
                <w:rFonts w:ascii="Arial" w:hAnsi="Arial" w:cs="Arial"/>
                <w:b/>
              </w:rPr>
            </w:pPr>
            <w:r>
              <w:rPr>
                <w:rFonts w:ascii="Arial" w:hAnsi="Arial" w:cs="Arial"/>
                <w:b/>
              </w:rPr>
              <w:t>Approved by:</w:t>
            </w:r>
          </w:p>
        </w:tc>
        <w:tc>
          <w:tcPr>
            <w:tcW w:w="6327" w:type="dxa"/>
          </w:tcPr>
          <w:p w14:paraId="710FCB5C" w14:textId="77777777" w:rsidR="005A49A9" w:rsidRDefault="005A49A9" w:rsidP="00EE5877">
            <w:pPr>
              <w:rPr>
                <w:rFonts w:ascii="Arial" w:hAnsi="Arial" w:cs="Arial"/>
                <w:b/>
              </w:rPr>
            </w:pPr>
            <w:r>
              <w:rPr>
                <w:rFonts w:ascii="Arial" w:hAnsi="Arial" w:cs="Arial"/>
                <w:b/>
              </w:rPr>
              <w:t>Medicines Management Interface Group (June 2010)</w:t>
            </w:r>
          </w:p>
        </w:tc>
      </w:tr>
      <w:tr w:rsidR="005A49A9" w14:paraId="0CBA1000" w14:textId="77777777" w:rsidTr="00EE5877">
        <w:tc>
          <w:tcPr>
            <w:tcW w:w="2853" w:type="dxa"/>
          </w:tcPr>
          <w:p w14:paraId="4ED62C7F" w14:textId="77777777" w:rsidR="005A49A9" w:rsidRDefault="005A49A9" w:rsidP="00EE5877">
            <w:pPr>
              <w:rPr>
                <w:rFonts w:ascii="Arial" w:hAnsi="Arial" w:cs="Arial"/>
                <w:b/>
              </w:rPr>
            </w:pPr>
            <w:r>
              <w:rPr>
                <w:rFonts w:ascii="Arial" w:hAnsi="Arial" w:cs="Arial"/>
                <w:b/>
              </w:rPr>
              <w:t>Ratified by:</w:t>
            </w:r>
          </w:p>
        </w:tc>
        <w:tc>
          <w:tcPr>
            <w:tcW w:w="6327" w:type="dxa"/>
          </w:tcPr>
          <w:p w14:paraId="0975F163" w14:textId="77777777" w:rsidR="005A49A9" w:rsidRPr="009A12A0" w:rsidRDefault="005A49A9" w:rsidP="00EE5877">
            <w:pPr>
              <w:rPr>
                <w:rFonts w:ascii="Arial" w:hAnsi="Arial" w:cs="Arial"/>
                <w:b/>
                <w:i/>
              </w:rPr>
            </w:pPr>
            <w:r>
              <w:rPr>
                <w:rFonts w:ascii="Arial" w:hAnsi="Arial" w:cs="Arial"/>
                <w:b/>
                <w:i/>
              </w:rPr>
              <w:t>HERPC Jan 2014, Jan 2021</w:t>
            </w:r>
          </w:p>
        </w:tc>
      </w:tr>
      <w:tr w:rsidR="005A49A9" w14:paraId="26D8025F" w14:textId="77777777" w:rsidTr="00EE5877">
        <w:tc>
          <w:tcPr>
            <w:tcW w:w="2853" w:type="dxa"/>
          </w:tcPr>
          <w:p w14:paraId="590489D8" w14:textId="77777777" w:rsidR="005A49A9" w:rsidRDefault="005A49A9" w:rsidP="00EE5877">
            <w:pPr>
              <w:rPr>
                <w:rFonts w:ascii="Arial" w:hAnsi="Arial" w:cs="Arial"/>
                <w:b/>
              </w:rPr>
            </w:pPr>
            <w:r>
              <w:rPr>
                <w:rFonts w:ascii="Arial" w:hAnsi="Arial" w:cs="Arial"/>
                <w:b/>
              </w:rPr>
              <w:t>Review date:</w:t>
            </w:r>
          </w:p>
        </w:tc>
        <w:tc>
          <w:tcPr>
            <w:tcW w:w="6327" w:type="dxa"/>
          </w:tcPr>
          <w:p w14:paraId="1E290600" w14:textId="77777777" w:rsidR="005A49A9" w:rsidRPr="009A12A0" w:rsidRDefault="005A49A9" w:rsidP="00EE5877">
            <w:pPr>
              <w:rPr>
                <w:rFonts w:ascii="Arial" w:hAnsi="Arial" w:cs="Arial"/>
                <w:b/>
                <w:i/>
              </w:rPr>
            </w:pPr>
            <w:r>
              <w:rPr>
                <w:rFonts w:ascii="Arial" w:hAnsi="Arial" w:cs="Arial"/>
                <w:b/>
                <w:i/>
              </w:rPr>
              <w:t xml:space="preserve">Jan 2024 </w:t>
            </w:r>
          </w:p>
        </w:tc>
      </w:tr>
    </w:tbl>
    <w:p w14:paraId="47DFBE38" w14:textId="77777777" w:rsidR="005A49A9" w:rsidRPr="00D140F6" w:rsidRDefault="005A49A9" w:rsidP="005A49A9">
      <w:pPr>
        <w:rPr>
          <w:rFonts w:ascii="Arial" w:hAnsi="Arial" w:cs="Arial"/>
          <w:b/>
        </w:rPr>
      </w:pPr>
    </w:p>
    <w:p w14:paraId="08EEE0A3" w14:textId="77777777" w:rsidR="00A01233" w:rsidRDefault="00A01233" w:rsidP="00B71049">
      <w:pPr>
        <w:pStyle w:val="Heading1"/>
        <w:rPr>
          <w:sz w:val="22"/>
          <w:szCs w:val="22"/>
        </w:rPr>
      </w:pPr>
    </w:p>
    <w:p w14:paraId="78D07DCA" w14:textId="77777777" w:rsidR="00A01233" w:rsidRDefault="00A01233" w:rsidP="00B71049">
      <w:pPr>
        <w:pStyle w:val="Heading1"/>
        <w:rPr>
          <w:sz w:val="22"/>
          <w:szCs w:val="22"/>
        </w:rPr>
      </w:pPr>
    </w:p>
    <w:p w14:paraId="700EEDEE" w14:textId="77777777" w:rsidR="00A01233" w:rsidRDefault="00A01233" w:rsidP="00B71049">
      <w:pPr>
        <w:pStyle w:val="Heading1"/>
        <w:rPr>
          <w:sz w:val="22"/>
          <w:szCs w:val="22"/>
        </w:rPr>
      </w:pPr>
    </w:p>
    <w:p w14:paraId="07683207" w14:textId="77777777" w:rsidR="00A01233" w:rsidRDefault="00A01233" w:rsidP="00B71049">
      <w:pPr>
        <w:pStyle w:val="Heading1"/>
        <w:rPr>
          <w:sz w:val="22"/>
          <w:szCs w:val="22"/>
        </w:rPr>
      </w:pPr>
    </w:p>
    <w:p w14:paraId="280FA1D3" w14:textId="07CABAAD" w:rsidR="00B71049" w:rsidRDefault="00B71049" w:rsidP="00B71049">
      <w:pPr>
        <w:pStyle w:val="Heading1"/>
        <w:rPr>
          <w:sz w:val="22"/>
          <w:szCs w:val="22"/>
        </w:rPr>
      </w:pPr>
      <w:r>
        <w:rPr>
          <w:sz w:val="22"/>
          <w:szCs w:val="22"/>
        </w:rPr>
        <w:lastRenderedPageBreak/>
        <w:t xml:space="preserve">Prescribing Framework for </w:t>
      </w:r>
      <w:proofErr w:type="spellStart"/>
      <w:r>
        <w:rPr>
          <w:sz w:val="22"/>
          <w:szCs w:val="22"/>
        </w:rPr>
        <w:t>Riluzole</w:t>
      </w:r>
      <w:proofErr w:type="spellEnd"/>
      <w:r>
        <w:rPr>
          <w:sz w:val="22"/>
          <w:szCs w:val="22"/>
        </w:rPr>
        <w:t xml:space="preserve"> for treatment of motor neurone disease</w:t>
      </w:r>
    </w:p>
    <w:p w14:paraId="066EFCC4" w14:textId="77777777" w:rsidR="00B71049" w:rsidRDefault="00B71049" w:rsidP="000D03CC">
      <w:pPr>
        <w:rPr>
          <w:rFonts w:ascii="Arial" w:hAnsi="Arial" w:cs="Arial"/>
          <w:b/>
        </w:rPr>
      </w:pPr>
    </w:p>
    <w:p w14:paraId="6AE39F80" w14:textId="77777777" w:rsidR="00B71049" w:rsidRDefault="00B71049" w:rsidP="00B71049">
      <w:pPr>
        <w:pStyle w:val="Heading3"/>
        <w:rPr>
          <w:color w:val="auto"/>
          <w:sz w:val="22"/>
          <w:szCs w:val="22"/>
        </w:rPr>
      </w:pPr>
      <w:r>
        <w:rPr>
          <w:color w:val="auto"/>
          <w:sz w:val="22"/>
          <w:szCs w:val="22"/>
        </w:rPr>
        <w:t xml:space="preserve">Patients </w:t>
      </w:r>
      <w:proofErr w:type="gramStart"/>
      <w:r>
        <w:rPr>
          <w:color w:val="auto"/>
          <w:sz w:val="22"/>
          <w:szCs w:val="22"/>
        </w:rPr>
        <w:t>Name:…</w:t>
      </w:r>
      <w:proofErr w:type="gramEnd"/>
      <w:r>
        <w:rPr>
          <w:color w:val="auto"/>
          <w:sz w:val="22"/>
          <w:szCs w:val="22"/>
        </w:rPr>
        <w:t>……………………… Unit Number: ………………</w:t>
      </w:r>
    </w:p>
    <w:p w14:paraId="396AE976" w14:textId="77777777" w:rsidR="00B71049" w:rsidRDefault="00B71049" w:rsidP="00B71049">
      <w:pPr>
        <w:rPr>
          <w:rFonts w:ascii="Arial" w:hAnsi="Arial" w:cs="Arial"/>
        </w:rPr>
      </w:pPr>
    </w:p>
    <w:p w14:paraId="558B265D" w14:textId="77777777" w:rsidR="00B71049" w:rsidRDefault="00B71049" w:rsidP="00B71049">
      <w:pPr>
        <w:rPr>
          <w:rFonts w:ascii="Arial" w:hAnsi="Arial" w:cs="Arial"/>
        </w:rPr>
      </w:pPr>
      <w:r>
        <w:rPr>
          <w:rFonts w:ascii="Arial" w:hAnsi="Arial" w:cs="Arial"/>
        </w:rPr>
        <w:t xml:space="preserve">Patient’s </w:t>
      </w:r>
      <w:proofErr w:type="gramStart"/>
      <w:r>
        <w:rPr>
          <w:rFonts w:ascii="Arial" w:hAnsi="Arial" w:cs="Arial"/>
        </w:rPr>
        <w:t>Address:…</w:t>
      </w:r>
      <w:proofErr w:type="gramEnd"/>
      <w:r>
        <w:rPr>
          <w:rFonts w:ascii="Arial" w:hAnsi="Arial" w:cs="Arial"/>
        </w:rPr>
        <w:t>……………………(Use addressograph sticker)</w:t>
      </w:r>
    </w:p>
    <w:p w14:paraId="564B9719" w14:textId="77777777" w:rsidR="00B71049" w:rsidRDefault="00B71049" w:rsidP="00B71049">
      <w:pPr>
        <w:rPr>
          <w:rFonts w:ascii="Arial" w:hAnsi="Arial" w:cs="Arial"/>
        </w:rPr>
      </w:pPr>
    </w:p>
    <w:p w14:paraId="13A694BE" w14:textId="77777777" w:rsidR="00B71049" w:rsidRDefault="00B71049" w:rsidP="00B71049">
      <w:pPr>
        <w:rPr>
          <w:rFonts w:ascii="Arial" w:hAnsi="Arial" w:cs="Arial"/>
        </w:rPr>
      </w:pPr>
    </w:p>
    <w:p w14:paraId="78A4FFC8" w14:textId="77777777" w:rsidR="00B71049" w:rsidRDefault="00B71049" w:rsidP="00B71049">
      <w:pPr>
        <w:rPr>
          <w:rFonts w:ascii="Arial" w:hAnsi="Arial" w:cs="Arial"/>
        </w:rPr>
      </w:pPr>
    </w:p>
    <w:p w14:paraId="6CF595C9" w14:textId="77777777" w:rsidR="00B71049" w:rsidRDefault="00B71049" w:rsidP="00B71049">
      <w:pPr>
        <w:rPr>
          <w:rFonts w:ascii="Arial" w:hAnsi="Arial" w:cs="Arial"/>
        </w:rPr>
      </w:pPr>
      <w:r>
        <w:rPr>
          <w:rFonts w:ascii="Arial" w:hAnsi="Arial" w:cs="Arial"/>
        </w:rPr>
        <w:t xml:space="preserve">GP’s </w:t>
      </w:r>
      <w:proofErr w:type="gramStart"/>
      <w:r>
        <w:rPr>
          <w:rFonts w:ascii="Arial" w:hAnsi="Arial" w:cs="Arial"/>
        </w:rPr>
        <w:t>Name:…</w:t>
      </w:r>
      <w:proofErr w:type="gramEnd"/>
      <w:r>
        <w:rPr>
          <w:rFonts w:ascii="Arial" w:hAnsi="Arial" w:cs="Arial"/>
        </w:rPr>
        <w:t>…………………………………………………….……..</w:t>
      </w:r>
    </w:p>
    <w:p w14:paraId="707B7A1F" w14:textId="77777777" w:rsidR="00B71049" w:rsidRDefault="00B71049" w:rsidP="00B71049">
      <w:pPr>
        <w:pStyle w:val="Heading2"/>
        <w:rPr>
          <w:rFonts w:ascii="Arial" w:hAnsi="Arial" w:cs="Arial"/>
          <w:sz w:val="22"/>
          <w:szCs w:val="22"/>
        </w:rPr>
      </w:pPr>
    </w:p>
    <w:p w14:paraId="4C08F6B7" w14:textId="77777777" w:rsidR="00B71049" w:rsidRPr="00DE2EFF" w:rsidRDefault="00B71049" w:rsidP="00B71049">
      <w:pPr>
        <w:pStyle w:val="Heading2"/>
        <w:rPr>
          <w:rFonts w:ascii="Arial" w:hAnsi="Arial" w:cs="Arial"/>
          <w:b/>
          <w:bCs/>
          <w:color w:val="auto"/>
          <w:sz w:val="22"/>
          <w:szCs w:val="22"/>
        </w:rPr>
      </w:pPr>
      <w:r w:rsidRPr="00DE2EFF">
        <w:rPr>
          <w:rFonts w:ascii="Arial" w:hAnsi="Arial" w:cs="Arial"/>
          <w:b/>
          <w:bCs/>
          <w:color w:val="auto"/>
          <w:sz w:val="22"/>
          <w:szCs w:val="22"/>
        </w:rPr>
        <w:t>Communication</w:t>
      </w:r>
    </w:p>
    <w:p w14:paraId="0EEDA346" w14:textId="4C2D9F43" w:rsidR="00B71049" w:rsidRDefault="00B71049" w:rsidP="00B71049">
      <w:pPr>
        <w:rPr>
          <w:rFonts w:ascii="Arial" w:hAnsi="Arial" w:cs="Arial"/>
          <w:b/>
        </w:rPr>
      </w:pPr>
      <w:r>
        <w:rPr>
          <w:rFonts w:ascii="Arial" w:hAnsi="Arial" w:cs="Arial"/>
          <w:b/>
          <w:noProof/>
        </w:rPr>
        <mc:AlternateContent>
          <mc:Choice Requires="wpc">
            <w:drawing>
              <wp:inline distT="0" distB="0" distL="0" distR="0" wp14:anchorId="6DB75279" wp14:editId="33A792EB">
                <wp:extent cx="6257925" cy="33909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7"/>
                        <wps:cNvSpPr txBox="1">
                          <a:spLocks noChangeArrowheads="1"/>
                        </wps:cNvSpPr>
                        <wps:spPr bwMode="auto">
                          <a:xfrm>
                            <a:off x="0" y="0"/>
                            <a:ext cx="6181725" cy="3267075"/>
                          </a:xfrm>
                          <a:prstGeom prst="rect">
                            <a:avLst/>
                          </a:prstGeom>
                          <a:solidFill>
                            <a:srgbClr val="FFFFFF"/>
                          </a:solidFill>
                          <a:ln w="9525">
                            <a:solidFill>
                              <a:srgbClr val="000000"/>
                            </a:solidFill>
                            <a:miter lim="800000"/>
                            <a:headEnd/>
                            <a:tailEnd/>
                          </a:ln>
                        </wps:spPr>
                        <wps:txbx>
                          <w:txbxContent>
                            <w:p w14:paraId="039FA4FE" w14:textId="77777777" w:rsidR="00B71049" w:rsidRDefault="00B71049" w:rsidP="00B71049">
                              <w:pPr>
                                <w:rPr>
                                  <w:rFonts w:ascii="Arial" w:hAnsi="Arial" w:cs="Arial"/>
                                </w:rPr>
                              </w:pPr>
                              <w:r>
                                <w:rPr>
                                  <w:rFonts w:ascii="Arial" w:hAnsi="Arial" w:cs="Arial"/>
                                </w:rPr>
                                <w:t>We agree to treat this patient within this Prescribing Framework</w:t>
                              </w:r>
                            </w:p>
                            <w:p w14:paraId="1E8950B5" w14:textId="77777777" w:rsidR="00B71049" w:rsidRDefault="00B71049" w:rsidP="00B71049">
                              <w:pPr>
                                <w:rPr>
                                  <w:rFonts w:ascii="Arial" w:hAnsi="Arial" w:cs="Arial"/>
                                </w:rPr>
                              </w:pPr>
                            </w:p>
                            <w:p w14:paraId="14E9FE95" w14:textId="77777777" w:rsidR="00B71049" w:rsidRDefault="00B71049" w:rsidP="00B71049">
                              <w:pPr>
                                <w:rPr>
                                  <w:rFonts w:ascii="Arial" w:hAnsi="Arial" w:cs="Arial"/>
                                </w:rPr>
                              </w:pPr>
                              <w:r>
                                <w:rPr>
                                  <w:rFonts w:ascii="Arial" w:hAnsi="Arial" w:cs="Arial"/>
                                </w:rPr>
                                <w:t>Specialist Prescriber’s Name…………………………………………     Prof Reg. No. …………</w:t>
                              </w:r>
                            </w:p>
                            <w:p w14:paraId="6FD850E6" w14:textId="77777777" w:rsidR="00B71049" w:rsidRDefault="00B71049" w:rsidP="00B71049">
                              <w:pPr>
                                <w:rPr>
                                  <w:rFonts w:ascii="Arial" w:hAnsi="Arial" w:cs="Arial"/>
                                </w:rPr>
                              </w:pPr>
                            </w:p>
                            <w:p w14:paraId="58A47F4A" w14:textId="77777777" w:rsidR="00B71049" w:rsidRDefault="00B71049" w:rsidP="00B71049">
                              <w:pPr>
                                <w:rPr>
                                  <w:rFonts w:ascii="Arial" w:hAnsi="Arial" w:cs="Arial"/>
                                </w:rPr>
                              </w:pPr>
                              <w:r>
                                <w:rPr>
                                  <w:rFonts w:ascii="Arial" w:hAnsi="Arial" w:cs="Arial"/>
                                </w:rPr>
                                <w:t>Specialist Prescriber’s Signature……………………………………      Date:…………………….</w:t>
                              </w:r>
                            </w:p>
                            <w:p w14:paraId="39B41DEA" w14:textId="77777777" w:rsidR="00B71049" w:rsidRDefault="00B71049" w:rsidP="00B71049">
                              <w:pPr>
                                <w:rPr>
                                  <w:rFonts w:ascii="Arial" w:hAnsi="Arial" w:cs="Arial"/>
                                </w:rPr>
                              </w:pPr>
                            </w:p>
                            <w:p w14:paraId="4DEC604A" w14:textId="77777777" w:rsidR="00B71049" w:rsidRDefault="00B71049" w:rsidP="00B71049">
                              <w:pPr>
                                <w:rPr>
                                  <w:rFonts w:ascii="Arial" w:hAnsi="Arial" w:cs="Arial"/>
                                  <w:i/>
                                </w:rPr>
                              </w:pPr>
                              <w:r>
                                <w:rPr>
                                  <w:rFonts w:ascii="Arial" w:hAnsi="Arial" w:cs="Arial"/>
                                  <w:i/>
                                </w:rPr>
                                <w:t xml:space="preserve">Where prescriber is </w:t>
                              </w:r>
                              <w:r>
                                <w:rPr>
                                  <w:rFonts w:ascii="Arial" w:hAnsi="Arial" w:cs="Arial"/>
                                  <w:i/>
                                  <w:u w:val="single"/>
                                </w:rPr>
                                <w:t>not</w:t>
                              </w:r>
                              <w:r>
                                <w:rPr>
                                  <w:rFonts w:ascii="Arial" w:hAnsi="Arial" w:cs="Arial"/>
                                  <w:i/>
                                </w:rPr>
                                <w:t xml:space="preserve"> a consultant:</w:t>
                              </w:r>
                            </w:p>
                            <w:p w14:paraId="541FC1CA" w14:textId="6ED65E4B" w:rsidR="00B71049" w:rsidRDefault="00B71049" w:rsidP="00B71049">
                              <w:pPr>
                                <w:rPr>
                                  <w:rFonts w:ascii="Arial" w:hAnsi="Arial" w:cs="Arial"/>
                                </w:rPr>
                              </w:pPr>
                              <w:r>
                                <w:rPr>
                                  <w:rFonts w:ascii="Arial" w:hAnsi="Arial" w:cs="Arial"/>
                                </w:rPr>
                                <w:t xml:space="preserve">Consultant’s Name: …………………………………………………       GMC No ……………….. </w:t>
                              </w:r>
                            </w:p>
                            <w:p w14:paraId="5E9FACEF" w14:textId="79AB9BE1" w:rsidR="00B71049" w:rsidRDefault="00B71049" w:rsidP="00B71049">
                              <w:pPr>
                                <w:rPr>
                                  <w:rFonts w:ascii="Arial" w:hAnsi="Arial" w:cs="Arial"/>
                                </w:rPr>
                              </w:pPr>
                              <w:r>
                                <w:rPr>
                                  <w:rFonts w:ascii="Arial" w:hAnsi="Arial" w:cs="Arial"/>
                                </w:rPr>
                                <w:t>Consultant’s Signature ………………………….... ……………….       Date:…………………….</w:t>
                              </w:r>
                            </w:p>
                            <w:p w14:paraId="2EBA417D" w14:textId="77777777" w:rsidR="00B71049" w:rsidRDefault="00B71049" w:rsidP="00B71049">
                              <w:pPr>
                                <w:rPr>
                                  <w:rFonts w:ascii="Arial" w:hAnsi="Arial" w:cs="Arial"/>
                                </w:rPr>
                              </w:pPr>
                            </w:p>
                            <w:p w14:paraId="55D67F35" w14:textId="6353643F" w:rsidR="00B71049" w:rsidRDefault="00B71049" w:rsidP="00B71049">
                              <w:pPr>
                                <w:rPr>
                                  <w:rFonts w:ascii="Arial" w:hAnsi="Arial" w:cs="Arial"/>
                                </w:rPr>
                              </w:pPr>
                              <w:r>
                                <w:rPr>
                                  <w:rFonts w:ascii="Arial" w:hAnsi="Arial" w:cs="Arial"/>
                                </w:rPr>
                                <w:t>GP’s Signature:…………………………………………………………   Date:……………………..</w:t>
                              </w:r>
                            </w:p>
                            <w:p w14:paraId="20DAF583" w14:textId="77777777" w:rsidR="00B71049" w:rsidRDefault="00B71049" w:rsidP="00B71049">
                              <w:pPr>
                                <w:rPr>
                                  <w:rFonts w:ascii="Arial" w:hAnsi="Arial" w:cs="Arial"/>
                                </w:rPr>
                              </w:pPr>
                              <w:r>
                                <w:rPr>
                                  <w:rFonts w:ascii="Arial" w:hAnsi="Arial" w:cs="Arial"/>
                                </w:rPr>
                                <w:t>GP’s Name (if different from listed above)…………………………..</w:t>
                              </w:r>
                            </w:p>
                          </w:txbxContent>
                        </wps:txbx>
                        <wps:bodyPr rot="0" vert="horz" wrap="square" lIns="91440" tIns="45720" rIns="91440" bIns="45720" anchor="t" anchorCtr="0" upright="1">
                          <a:noAutofit/>
                        </wps:bodyPr>
                      </wps:wsp>
                    </wpc:wpc>
                  </a:graphicData>
                </a:graphic>
              </wp:inline>
            </w:drawing>
          </mc:Choice>
          <mc:Fallback>
            <w:pict>
              <v:group w14:anchorId="6DB75279" id="Canvas 6" o:spid="_x0000_s1028" editas="canvas" style="width:492.75pt;height:267pt;mso-position-horizontal-relative:char;mso-position-vertical-relative:line" coordsize="62579,3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579;height:33909;visibility:visible;mso-wrap-style:square">
                  <v:fill o:detectmouseclick="t"/>
                  <v:path o:connecttype="none"/>
                </v:shape>
                <v:shape id="Text Box 7" o:spid="_x0000_s1030" type="#_x0000_t202" style="position:absolute;width:61817;height:3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39FA4FE" w14:textId="77777777" w:rsidR="00B71049" w:rsidRDefault="00B71049" w:rsidP="00B71049">
                        <w:pPr>
                          <w:rPr>
                            <w:rFonts w:ascii="Arial" w:hAnsi="Arial" w:cs="Arial"/>
                          </w:rPr>
                        </w:pPr>
                        <w:r>
                          <w:rPr>
                            <w:rFonts w:ascii="Arial" w:hAnsi="Arial" w:cs="Arial"/>
                          </w:rPr>
                          <w:t>We agree to treat this patient within this Prescribing Framework</w:t>
                        </w:r>
                      </w:p>
                      <w:p w14:paraId="1E8950B5" w14:textId="77777777" w:rsidR="00B71049" w:rsidRDefault="00B71049" w:rsidP="00B71049">
                        <w:pPr>
                          <w:rPr>
                            <w:rFonts w:ascii="Arial" w:hAnsi="Arial" w:cs="Arial"/>
                          </w:rPr>
                        </w:pPr>
                      </w:p>
                      <w:p w14:paraId="14E9FE95" w14:textId="77777777" w:rsidR="00B71049" w:rsidRDefault="00B71049" w:rsidP="00B71049">
                        <w:pPr>
                          <w:rPr>
                            <w:rFonts w:ascii="Arial" w:hAnsi="Arial" w:cs="Arial"/>
                          </w:rPr>
                        </w:pPr>
                        <w:r>
                          <w:rPr>
                            <w:rFonts w:ascii="Arial" w:hAnsi="Arial" w:cs="Arial"/>
                          </w:rPr>
                          <w:t>Specialist Prescriber’s Name…………………………………………     Prof Reg. No. …………</w:t>
                        </w:r>
                      </w:p>
                      <w:p w14:paraId="6FD850E6" w14:textId="77777777" w:rsidR="00B71049" w:rsidRDefault="00B71049" w:rsidP="00B71049">
                        <w:pPr>
                          <w:rPr>
                            <w:rFonts w:ascii="Arial" w:hAnsi="Arial" w:cs="Arial"/>
                          </w:rPr>
                        </w:pPr>
                      </w:p>
                      <w:p w14:paraId="58A47F4A" w14:textId="77777777" w:rsidR="00B71049" w:rsidRDefault="00B71049" w:rsidP="00B71049">
                        <w:pPr>
                          <w:rPr>
                            <w:rFonts w:ascii="Arial" w:hAnsi="Arial" w:cs="Arial"/>
                          </w:rPr>
                        </w:pPr>
                        <w:r>
                          <w:rPr>
                            <w:rFonts w:ascii="Arial" w:hAnsi="Arial" w:cs="Arial"/>
                          </w:rPr>
                          <w:t>Specialist Prescriber’s Signature……………………………………      Date:…………………….</w:t>
                        </w:r>
                      </w:p>
                      <w:p w14:paraId="39B41DEA" w14:textId="77777777" w:rsidR="00B71049" w:rsidRDefault="00B71049" w:rsidP="00B71049">
                        <w:pPr>
                          <w:rPr>
                            <w:rFonts w:ascii="Arial" w:hAnsi="Arial" w:cs="Arial"/>
                          </w:rPr>
                        </w:pPr>
                      </w:p>
                      <w:p w14:paraId="4DEC604A" w14:textId="77777777" w:rsidR="00B71049" w:rsidRDefault="00B71049" w:rsidP="00B71049">
                        <w:pPr>
                          <w:rPr>
                            <w:rFonts w:ascii="Arial" w:hAnsi="Arial" w:cs="Arial"/>
                            <w:i/>
                          </w:rPr>
                        </w:pPr>
                        <w:r>
                          <w:rPr>
                            <w:rFonts w:ascii="Arial" w:hAnsi="Arial" w:cs="Arial"/>
                            <w:i/>
                          </w:rPr>
                          <w:t xml:space="preserve">Where prescriber is </w:t>
                        </w:r>
                        <w:r>
                          <w:rPr>
                            <w:rFonts w:ascii="Arial" w:hAnsi="Arial" w:cs="Arial"/>
                            <w:i/>
                            <w:u w:val="single"/>
                          </w:rPr>
                          <w:t>not</w:t>
                        </w:r>
                        <w:r>
                          <w:rPr>
                            <w:rFonts w:ascii="Arial" w:hAnsi="Arial" w:cs="Arial"/>
                            <w:i/>
                          </w:rPr>
                          <w:t xml:space="preserve"> a consultant:</w:t>
                        </w:r>
                      </w:p>
                      <w:p w14:paraId="541FC1CA" w14:textId="6ED65E4B" w:rsidR="00B71049" w:rsidRDefault="00B71049" w:rsidP="00B71049">
                        <w:pPr>
                          <w:rPr>
                            <w:rFonts w:ascii="Arial" w:hAnsi="Arial" w:cs="Arial"/>
                          </w:rPr>
                        </w:pPr>
                        <w:r>
                          <w:rPr>
                            <w:rFonts w:ascii="Arial" w:hAnsi="Arial" w:cs="Arial"/>
                          </w:rPr>
                          <w:t xml:space="preserve">Consultant’s Name: …………………………………………………       GMC No ……………….. </w:t>
                        </w:r>
                      </w:p>
                      <w:p w14:paraId="5E9FACEF" w14:textId="79AB9BE1" w:rsidR="00B71049" w:rsidRDefault="00B71049" w:rsidP="00B71049">
                        <w:pPr>
                          <w:rPr>
                            <w:rFonts w:ascii="Arial" w:hAnsi="Arial" w:cs="Arial"/>
                          </w:rPr>
                        </w:pPr>
                        <w:r>
                          <w:rPr>
                            <w:rFonts w:ascii="Arial" w:hAnsi="Arial" w:cs="Arial"/>
                          </w:rPr>
                          <w:t>Consultant’s Signature ………………………….... ……………….       Date:…………………….</w:t>
                        </w:r>
                      </w:p>
                      <w:p w14:paraId="2EBA417D" w14:textId="77777777" w:rsidR="00B71049" w:rsidRDefault="00B71049" w:rsidP="00B71049">
                        <w:pPr>
                          <w:rPr>
                            <w:rFonts w:ascii="Arial" w:hAnsi="Arial" w:cs="Arial"/>
                          </w:rPr>
                        </w:pPr>
                      </w:p>
                      <w:p w14:paraId="55D67F35" w14:textId="6353643F" w:rsidR="00B71049" w:rsidRDefault="00B71049" w:rsidP="00B71049">
                        <w:pPr>
                          <w:rPr>
                            <w:rFonts w:ascii="Arial" w:hAnsi="Arial" w:cs="Arial"/>
                          </w:rPr>
                        </w:pPr>
                        <w:r>
                          <w:rPr>
                            <w:rFonts w:ascii="Arial" w:hAnsi="Arial" w:cs="Arial"/>
                          </w:rPr>
                          <w:t>GP’s Signature:…………………………………………………………   Date:……………………..</w:t>
                        </w:r>
                      </w:p>
                      <w:p w14:paraId="20DAF583" w14:textId="77777777" w:rsidR="00B71049" w:rsidRDefault="00B71049" w:rsidP="00B71049">
                        <w:pPr>
                          <w:rPr>
                            <w:rFonts w:ascii="Arial" w:hAnsi="Arial" w:cs="Arial"/>
                          </w:rPr>
                        </w:pPr>
                        <w:r>
                          <w:rPr>
                            <w:rFonts w:ascii="Arial" w:hAnsi="Arial" w:cs="Arial"/>
                          </w:rPr>
                          <w:t>GP’s Name (if different from listed above)…………………………..</w:t>
                        </w:r>
                      </w:p>
                    </w:txbxContent>
                  </v:textbox>
                </v:shape>
                <w10:anchorlock/>
              </v:group>
            </w:pict>
          </mc:Fallback>
        </mc:AlternateContent>
      </w:r>
    </w:p>
    <w:p w14:paraId="691C25C1" w14:textId="77777777" w:rsidR="00AE6544" w:rsidRDefault="00AE6544" w:rsidP="00B71049">
      <w:pPr>
        <w:rPr>
          <w:rFonts w:ascii="Arial" w:hAnsi="Arial" w:cs="Arial"/>
        </w:rPr>
      </w:pPr>
    </w:p>
    <w:p w14:paraId="4D9D7145" w14:textId="1E922EDA" w:rsidR="00B71049" w:rsidRDefault="00B71049" w:rsidP="00B71049">
      <w:pPr>
        <w:rPr>
          <w:rFonts w:ascii="Arial" w:hAnsi="Arial" w:cs="Arial"/>
        </w:rPr>
      </w:pPr>
      <w:r>
        <w:rPr>
          <w:rFonts w:ascii="Arial" w:hAnsi="Arial" w:cs="Arial"/>
        </w:rPr>
        <w:t xml:space="preserve">The front page of this form should be completed by the specialist and the form sent to the patient’s general practitioner. </w:t>
      </w:r>
    </w:p>
    <w:p w14:paraId="2C0F50CA" w14:textId="77777777" w:rsidR="00B71049" w:rsidRDefault="00B71049" w:rsidP="00B71049">
      <w:pPr>
        <w:rPr>
          <w:rFonts w:ascii="Arial" w:hAnsi="Arial" w:cs="Arial"/>
        </w:rPr>
      </w:pPr>
      <w:r>
        <w:rPr>
          <w:rFonts w:ascii="Arial" w:hAnsi="Arial" w:cs="Arial"/>
        </w:rPr>
        <w:t xml:space="preserve">The patient’s GP should sign and send back to specialist, to confirm agreement to </w:t>
      </w:r>
      <w:proofErr w:type="gramStart"/>
      <w:r>
        <w:rPr>
          <w:rFonts w:ascii="Arial" w:hAnsi="Arial" w:cs="Arial"/>
        </w:rPr>
        <w:t>enter into</w:t>
      </w:r>
      <w:proofErr w:type="gramEnd"/>
      <w:r>
        <w:rPr>
          <w:rFonts w:ascii="Arial" w:hAnsi="Arial" w:cs="Arial"/>
        </w:rPr>
        <w:t xml:space="preserve"> shared care arrangement. If the General Practitioner is </w:t>
      </w:r>
      <w:r>
        <w:rPr>
          <w:rFonts w:ascii="Arial" w:hAnsi="Arial" w:cs="Arial"/>
          <w:b/>
          <w:bCs/>
          <w:u w:val="single"/>
        </w:rPr>
        <w:t>unwilling</w:t>
      </w:r>
      <w:r>
        <w:rPr>
          <w:rFonts w:ascii="Arial" w:hAnsi="Arial" w:cs="Arial"/>
        </w:rPr>
        <w:t xml:space="preserve"> to accept prescribing responsibility for the above patient the specialist should be informed within two weeks of receipt of this framework and specialist’s letter.  </w:t>
      </w:r>
    </w:p>
    <w:p w14:paraId="629B1E5C" w14:textId="77777777" w:rsidR="00B71049" w:rsidRDefault="00B71049" w:rsidP="00B71049">
      <w:pPr>
        <w:rPr>
          <w:rFonts w:ascii="Arial" w:hAnsi="Arial" w:cs="Arial"/>
        </w:rPr>
      </w:pPr>
      <w:r>
        <w:rPr>
          <w:rFonts w:ascii="Arial" w:hAnsi="Arial" w:cs="Arial"/>
        </w:rPr>
        <w:t xml:space="preserve"> </w:t>
      </w:r>
    </w:p>
    <w:p w14:paraId="73E8AC79" w14:textId="77777777" w:rsidR="00B71049" w:rsidRDefault="00B71049" w:rsidP="00B71049">
      <w:pPr>
        <w:rPr>
          <w:rFonts w:ascii="Arial" w:hAnsi="Arial" w:cs="Arial"/>
        </w:rPr>
      </w:pPr>
    </w:p>
    <w:p w14:paraId="402DA43B" w14:textId="77777777" w:rsidR="00B71049" w:rsidRPr="00EF752A" w:rsidRDefault="00B71049" w:rsidP="00B71049">
      <w:pPr>
        <w:rPr>
          <w:rStyle w:val="Hyperlink"/>
          <w:rFonts w:ascii="Arial" w:hAnsi="Arial" w:cs="Arial"/>
        </w:rPr>
      </w:pPr>
      <w:r>
        <w:rPr>
          <w:rFonts w:ascii="Arial" w:hAnsi="Arial" w:cs="Arial"/>
        </w:rPr>
        <w:t xml:space="preserve">Full copy of framework can also be found at: </w:t>
      </w:r>
      <w:r>
        <w:rPr>
          <w:rFonts w:ascii="Arial" w:hAnsi="Arial" w:cs="Arial"/>
        </w:rPr>
        <w:fldChar w:fldCharType="begin"/>
      </w:r>
      <w:r>
        <w:rPr>
          <w:rFonts w:ascii="Arial" w:hAnsi="Arial" w:cs="Arial"/>
        </w:rPr>
        <w:instrText xml:space="preserve"> HYPERLINK "http://www.hey.nhs.uk/amber.htm" </w:instrText>
      </w:r>
      <w:r>
        <w:rPr>
          <w:rFonts w:ascii="Arial" w:hAnsi="Arial" w:cs="Arial"/>
        </w:rPr>
        <w:fldChar w:fldCharType="separate"/>
      </w:r>
      <w:r w:rsidRPr="00EF752A">
        <w:rPr>
          <w:rStyle w:val="Hyperlink"/>
          <w:rFonts w:ascii="Arial" w:hAnsi="Arial" w:cs="Arial"/>
        </w:rPr>
        <w:t>http://www.hey.nhs.uk/amber.htm</w:t>
      </w:r>
    </w:p>
    <w:p w14:paraId="18F6A863" w14:textId="6B03EC41" w:rsidR="00B71049" w:rsidRPr="000D03CC" w:rsidRDefault="00B71049" w:rsidP="00B71049">
      <w:pPr>
        <w:rPr>
          <w:rFonts w:ascii="Arial" w:hAnsi="Arial" w:cs="Arial"/>
        </w:rPr>
      </w:pPr>
      <w:r>
        <w:rPr>
          <w:rFonts w:ascii="Arial" w:hAnsi="Arial" w:cs="Arial"/>
        </w:rPr>
        <w:fldChar w:fldCharType="end"/>
      </w:r>
      <w:r>
        <w:rPr>
          <w:rFonts w:ascii="Arial" w:hAnsi="Arial" w:cs="Arial"/>
          <w:b/>
        </w:rPr>
        <w:br w:type="page"/>
      </w:r>
    </w:p>
    <w:p w14:paraId="49A696C3" w14:textId="7494BE47" w:rsidR="00B71049" w:rsidRPr="00DE2EFF" w:rsidRDefault="00637C6C" w:rsidP="00637C6C">
      <w:pPr>
        <w:pStyle w:val="Heading2"/>
        <w:rPr>
          <w:rFonts w:ascii="Arial" w:hAnsi="Arial" w:cs="Arial"/>
          <w:b/>
          <w:bCs/>
          <w:color w:val="auto"/>
          <w:sz w:val="22"/>
          <w:szCs w:val="22"/>
        </w:rPr>
      </w:pPr>
      <w:r>
        <w:rPr>
          <w:rFonts w:ascii="Arial" w:hAnsi="Arial" w:cs="Arial"/>
          <w:b/>
          <w:bCs/>
          <w:color w:val="auto"/>
          <w:sz w:val="22"/>
          <w:szCs w:val="22"/>
        </w:rPr>
        <w:lastRenderedPageBreak/>
        <w:t>1.</w:t>
      </w:r>
      <w:r w:rsidR="00B71049" w:rsidRPr="00DE2EFF">
        <w:rPr>
          <w:rFonts w:ascii="Arial" w:hAnsi="Arial" w:cs="Arial"/>
          <w:b/>
          <w:bCs/>
          <w:color w:val="auto"/>
          <w:sz w:val="22"/>
          <w:szCs w:val="22"/>
        </w:rPr>
        <w:t>Background</w:t>
      </w:r>
    </w:p>
    <w:p w14:paraId="16F2848B" w14:textId="77777777" w:rsidR="00B71049" w:rsidRDefault="00B71049" w:rsidP="00B71049">
      <w:pPr>
        <w:jc w:val="both"/>
        <w:rPr>
          <w:rFonts w:ascii="Arial" w:hAnsi="Arial" w:cs="Arial"/>
        </w:rPr>
      </w:pPr>
    </w:p>
    <w:p w14:paraId="70D389D5" w14:textId="77777777" w:rsidR="00B71049" w:rsidRDefault="00B71049" w:rsidP="00B71049">
      <w:pPr>
        <w:autoSpaceDE w:val="0"/>
        <w:autoSpaceDN w:val="0"/>
        <w:adjustRightInd w:val="0"/>
        <w:jc w:val="both"/>
        <w:rPr>
          <w:rFonts w:ascii="Arial" w:hAnsi="Arial" w:cs="Arial"/>
        </w:rPr>
      </w:pPr>
      <w:r>
        <w:rPr>
          <w:rFonts w:ascii="Arial" w:hAnsi="Arial" w:cs="Arial"/>
        </w:rPr>
        <w:t>The term 'Motor Neurone Disease' is used to describe variants of the disease - namely progressive muscular atrophy (PMA) and amyotrophic lateral sclerosis (ALS). ALS, which is characterised by both upper and lower motor neurone signs, is the most common form of MND, accounting for 65% to 85% of all cases. Adult-onset MND usually starts with symptoms and signs including stumbling, foot drop, weakened grip, slurred speech, cramp, muscle wasting, twitching and tiredness. Other symptoms of MND include muscle stiffness, paralysis, in-</w:t>
      </w:r>
      <w:proofErr w:type="gramStart"/>
      <w:r>
        <w:rPr>
          <w:rFonts w:ascii="Arial" w:hAnsi="Arial" w:cs="Arial"/>
        </w:rPr>
        <w:t>coordination</w:t>
      </w:r>
      <w:proofErr w:type="gramEnd"/>
      <w:r>
        <w:rPr>
          <w:rFonts w:ascii="Arial" w:hAnsi="Arial" w:cs="Arial"/>
        </w:rPr>
        <w:t xml:space="preserve"> and impaired speech, swallowing and breathing. Most individuals die from ventilatory failure, resulting from progressive weakness and wasting of limb, respiratory and bulbar muscles within approximately 3 years of the onset of symptoms. </w:t>
      </w:r>
    </w:p>
    <w:p w14:paraId="7E5B9933" w14:textId="77777777" w:rsidR="00B71049" w:rsidRDefault="00B71049" w:rsidP="00B71049">
      <w:pPr>
        <w:jc w:val="both"/>
        <w:rPr>
          <w:rFonts w:ascii="Arial" w:hAnsi="Arial" w:cs="Arial"/>
        </w:rPr>
      </w:pPr>
    </w:p>
    <w:p w14:paraId="1B113E3A" w14:textId="77777777" w:rsidR="00B71049" w:rsidRDefault="00B71049" w:rsidP="00B71049">
      <w:pPr>
        <w:autoSpaceDE w:val="0"/>
        <w:autoSpaceDN w:val="0"/>
        <w:adjustRightInd w:val="0"/>
        <w:jc w:val="both"/>
        <w:rPr>
          <w:rFonts w:ascii="Arial" w:hAnsi="Arial" w:cs="Arial"/>
        </w:rPr>
      </w:pPr>
      <w:r>
        <w:rPr>
          <w:rFonts w:ascii="Arial" w:hAnsi="Arial" w:cs="Arial"/>
        </w:rPr>
        <w:t xml:space="preserve">The incidence of ALS ranges from 1.8 to 2.2 per 100,000 population and prevalence ranges from 4.0 to 4.7 per 100,000 population in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Therefore, at any one time about 2000 individuals per year in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Wales</w:t>
          </w:r>
        </w:smartTag>
      </w:smartTag>
      <w:r>
        <w:rPr>
          <w:rFonts w:ascii="Arial" w:hAnsi="Arial" w:cs="Arial"/>
        </w:rPr>
        <w:t xml:space="preserve"> are affected by ALS. </w:t>
      </w:r>
    </w:p>
    <w:p w14:paraId="6002A102" w14:textId="3B11C7A3" w:rsidR="00B71049" w:rsidRDefault="00B71049" w:rsidP="00B71049">
      <w:pPr>
        <w:autoSpaceDE w:val="0"/>
        <w:autoSpaceDN w:val="0"/>
        <w:adjustRightInd w:val="0"/>
        <w:jc w:val="both"/>
        <w:rPr>
          <w:rFonts w:ascii="Arial" w:hAnsi="Arial" w:cs="Arial"/>
        </w:rPr>
      </w:pPr>
      <w:r>
        <w:rPr>
          <w:rFonts w:ascii="Arial" w:hAnsi="Arial" w:cs="Arial"/>
        </w:rPr>
        <w:t xml:space="preserve">Four randomised controlled trials (including </w:t>
      </w:r>
      <w:proofErr w:type="gramStart"/>
      <w:r>
        <w:rPr>
          <w:rFonts w:ascii="Arial" w:hAnsi="Arial" w:cs="Arial"/>
        </w:rPr>
        <w:t>a number of</w:t>
      </w:r>
      <w:proofErr w:type="gramEnd"/>
      <w:r>
        <w:rPr>
          <w:rFonts w:ascii="Arial" w:hAnsi="Arial" w:cs="Arial"/>
        </w:rPr>
        <w:t xml:space="preserv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centres) in patients who fall within the diagnostic category of ALS have compared </w:t>
      </w:r>
      <w:proofErr w:type="spellStart"/>
      <w:r>
        <w:rPr>
          <w:rFonts w:ascii="Arial" w:hAnsi="Arial" w:cs="Arial"/>
        </w:rPr>
        <w:t>riluzole</w:t>
      </w:r>
      <w:proofErr w:type="spellEnd"/>
      <w:r>
        <w:rPr>
          <w:rFonts w:ascii="Arial" w:hAnsi="Arial" w:cs="Arial"/>
        </w:rPr>
        <w:t xml:space="preserve"> with placebo (a total of 1477 individuals). All trials used tracheotomy-free survival as a primary outcome. All four of the trials identified and reported </w:t>
      </w:r>
      <w:proofErr w:type="spellStart"/>
      <w:r>
        <w:rPr>
          <w:rFonts w:ascii="Arial" w:hAnsi="Arial" w:cs="Arial"/>
        </w:rPr>
        <w:t>riluzole</w:t>
      </w:r>
      <w:proofErr w:type="spellEnd"/>
      <w:r>
        <w:rPr>
          <w:rFonts w:ascii="Arial" w:hAnsi="Arial" w:cs="Arial"/>
        </w:rPr>
        <w:t xml:space="preserve"> to be associated with a relative reduction in hazard ratio for tracheotomy-free survival at 18 months of 17% (</w:t>
      </w:r>
      <w:proofErr w:type="gramStart"/>
      <w:r>
        <w:rPr>
          <w:rFonts w:ascii="Arial" w:hAnsi="Arial" w:cs="Arial"/>
        </w:rPr>
        <w:t>i.e.</w:t>
      </w:r>
      <w:proofErr w:type="gramEnd"/>
      <w:r>
        <w:rPr>
          <w:rFonts w:ascii="Arial" w:hAnsi="Arial" w:cs="Arial"/>
        </w:rPr>
        <w:t xml:space="preserve"> hazard ratio of 0.88, 95% CI: 0.75-1.02). </w:t>
      </w:r>
    </w:p>
    <w:p w14:paraId="55833773" w14:textId="29AE85C4" w:rsidR="00B71049" w:rsidRDefault="00B71049" w:rsidP="002C04F8">
      <w:pPr>
        <w:autoSpaceDE w:val="0"/>
        <w:autoSpaceDN w:val="0"/>
        <w:adjustRightInd w:val="0"/>
        <w:jc w:val="both"/>
        <w:rPr>
          <w:rFonts w:ascii="Arial" w:hAnsi="Arial" w:cs="Arial"/>
        </w:rPr>
      </w:pPr>
      <w:r>
        <w:rPr>
          <w:rFonts w:ascii="Arial" w:hAnsi="Arial" w:cs="Arial"/>
        </w:rPr>
        <w:t xml:space="preserve">The National Institute for Health and Clinical Excellence (NICE) produced guidance on the use of </w:t>
      </w:r>
      <w:proofErr w:type="spellStart"/>
      <w:r>
        <w:rPr>
          <w:rFonts w:ascii="Arial" w:hAnsi="Arial" w:cs="Arial"/>
        </w:rPr>
        <w:t>riluzole</w:t>
      </w:r>
      <w:proofErr w:type="spellEnd"/>
      <w:r>
        <w:rPr>
          <w:rFonts w:ascii="Arial" w:hAnsi="Arial" w:cs="Arial"/>
        </w:rPr>
        <w:t xml:space="preserve"> in January 2001 (TAG No. 20) which recommended use in patients with the ALS form of MND.  </w:t>
      </w:r>
    </w:p>
    <w:p w14:paraId="25F314AA" w14:textId="77777777" w:rsidR="00B71049" w:rsidRDefault="00B71049" w:rsidP="00B71049">
      <w:pPr>
        <w:jc w:val="both"/>
        <w:rPr>
          <w:rFonts w:ascii="Arial" w:hAnsi="Arial" w:cs="Arial"/>
        </w:rPr>
      </w:pPr>
      <w:r>
        <w:rPr>
          <w:rFonts w:ascii="Arial" w:hAnsi="Arial" w:cs="Arial"/>
        </w:rPr>
        <w:t>The guidelines should be read in conjunction with the general guidance on prescribing matters given in EL (91) 127 “Responsibility for prescribing between hospitals and GPs”.</w:t>
      </w:r>
    </w:p>
    <w:p w14:paraId="796C8815" w14:textId="77777777" w:rsidR="00B71049" w:rsidRDefault="00B71049" w:rsidP="00B71049">
      <w:pPr>
        <w:jc w:val="both"/>
        <w:rPr>
          <w:rFonts w:ascii="Arial" w:hAnsi="Arial" w:cs="Arial"/>
        </w:rPr>
      </w:pPr>
    </w:p>
    <w:p w14:paraId="453AE9B6" w14:textId="2C51DBC4" w:rsidR="00B71049" w:rsidRPr="002C04F8" w:rsidRDefault="00B71049" w:rsidP="002C04F8">
      <w:pPr>
        <w:pStyle w:val="Heading2"/>
        <w:jc w:val="both"/>
        <w:rPr>
          <w:rFonts w:ascii="Arial" w:hAnsi="Arial" w:cs="Arial"/>
          <w:b/>
          <w:bCs/>
          <w:color w:val="auto"/>
          <w:sz w:val="22"/>
          <w:szCs w:val="22"/>
        </w:rPr>
      </w:pPr>
      <w:r w:rsidRPr="00DE2EFF">
        <w:rPr>
          <w:rFonts w:ascii="Arial" w:hAnsi="Arial" w:cs="Arial"/>
          <w:b/>
          <w:bCs/>
          <w:color w:val="auto"/>
          <w:sz w:val="22"/>
          <w:szCs w:val="22"/>
        </w:rPr>
        <w:t>2.  Indication</w:t>
      </w:r>
    </w:p>
    <w:p w14:paraId="0024BF7E" w14:textId="77777777" w:rsidR="00B71049" w:rsidRDefault="00B71049" w:rsidP="00B71049">
      <w:pPr>
        <w:autoSpaceDE w:val="0"/>
        <w:autoSpaceDN w:val="0"/>
        <w:adjustRightInd w:val="0"/>
        <w:jc w:val="both"/>
        <w:rPr>
          <w:rFonts w:ascii="Arial" w:hAnsi="Arial" w:cs="Arial"/>
        </w:rPr>
      </w:pPr>
      <w:proofErr w:type="spellStart"/>
      <w:r>
        <w:rPr>
          <w:rFonts w:ascii="Arial" w:hAnsi="Arial" w:cs="Arial"/>
        </w:rPr>
        <w:t>Riluzole</w:t>
      </w:r>
      <w:proofErr w:type="spellEnd"/>
      <w:r>
        <w:rPr>
          <w:rFonts w:ascii="Arial" w:hAnsi="Arial" w:cs="Arial"/>
        </w:rPr>
        <w:t xml:space="preserve"> is recommended for the treatment of individuals with the amyotrophic lateral sclerosis (ALS) form of Motor Neurone Disease (MND). </w:t>
      </w:r>
      <w:proofErr w:type="spellStart"/>
      <w:r>
        <w:rPr>
          <w:rFonts w:ascii="Arial" w:hAnsi="Arial" w:cs="Arial"/>
        </w:rPr>
        <w:t>Riluzole</w:t>
      </w:r>
      <w:proofErr w:type="spellEnd"/>
      <w:r>
        <w:rPr>
          <w:rFonts w:ascii="Arial" w:hAnsi="Arial" w:cs="Arial"/>
        </w:rPr>
        <w:t xml:space="preserve"> is currently the only drug licensed for treating ALS in the UK </w:t>
      </w:r>
    </w:p>
    <w:p w14:paraId="1CD2E61E" w14:textId="77777777" w:rsidR="00B71049" w:rsidRDefault="00B71049" w:rsidP="00B71049">
      <w:pPr>
        <w:jc w:val="both"/>
        <w:rPr>
          <w:rFonts w:ascii="Arial" w:hAnsi="Arial" w:cs="Arial"/>
        </w:rPr>
      </w:pPr>
    </w:p>
    <w:p w14:paraId="71F0ABF8" w14:textId="3EF154BB" w:rsidR="00B71049" w:rsidRPr="002C04F8" w:rsidRDefault="00DE2EFF" w:rsidP="002C04F8">
      <w:pPr>
        <w:spacing w:before="0" w:after="0"/>
        <w:jc w:val="both"/>
        <w:rPr>
          <w:rFonts w:ascii="Arial" w:hAnsi="Arial" w:cs="Arial"/>
          <w:b/>
          <w:bCs/>
        </w:rPr>
      </w:pPr>
      <w:r>
        <w:rPr>
          <w:rFonts w:ascii="Arial" w:hAnsi="Arial" w:cs="Arial"/>
          <w:b/>
          <w:bCs/>
        </w:rPr>
        <w:t>3.</w:t>
      </w:r>
      <w:r w:rsidR="00B71049" w:rsidRPr="00DE2EFF">
        <w:rPr>
          <w:rFonts w:ascii="Arial" w:hAnsi="Arial" w:cs="Arial"/>
          <w:b/>
          <w:bCs/>
        </w:rPr>
        <w:t>Dose</w:t>
      </w:r>
    </w:p>
    <w:p w14:paraId="39022AF3" w14:textId="77777777" w:rsidR="00B71049" w:rsidRDefault="00B71049" w:rsidP="00B71049">
      <w:pPr>
        <w:autoSpaceDE w:val="0"/>
        <w:autoSpaceDN w:val="0"/>
        <w:adjustRightInd w:val="0"/>
        <w:jc w:val="both"/>
        <w:rPr>
          <w:rFonts w:ascii="Arial" w:hAnsi="Arial" w:cs="Arial"/>
        </w:rPr>
      </w:pPr>
      <w:r>
        <w:rPr>
          <w:rFonts w:ascii="Arial" w:hAnsi="Arial" w:cs="Arial"/>
        </w:rPr>
        <w:t xml:space="preserve">The license dosage of </w:t>
      </w:r>
      <w:proofErr w:type="spellStart"/>
      <w:r>
        <w:rPr>
          <w:rFonts w:ascii="Arial" w:hAnsi="Arial" w:cs="Arial"/>
        </w:rPr>
        <w:t>riluzole</w:t>
      </w:r>
      <w:proofErr w:type="spellEnd"/>
      <w:r>
        <w:rPr>
          <w:rFonts w:ascii="Arial" w:hAnsi="Arial" w:cs="Arial"/>
        </w:rPr>
        <w:t xml:space="preserve"> is 100mg per day (50mg twice per day). </w:t>
      </w:r>
    </w:p>
    <w:p w14:paraId="23368ECF" w14:textId="77777777" w:rsidR="00B71049" w:rsidRDefault="00B71049" w:rsidP="00B71049">
      <w:pPr>
        <w:pStyle w:val="Default"/>
        <w:rPr>
          <w:sz w:val="22"/>
          <w:szCs w:val="22"/>
        </w:rPr>
      </w:pPr>
    </w:p>
    <w:p w14:paraId="7F116F91" w14:textId="77777777" w:rsidR="00B71049" w:rsidRPr="00437E6D" w:rsidRDefault="00B71049" w:rsidP="00B71049">
      <w:pPr>
        <w:pStyle w:val="Default"/>
        <w:rPr>
          <w:sz w:val="22"/>
          <w:szCs w:val="22"/>
        </w:rPr>
      </w:pPr>
      <w:r w:rsidRPr="00437E6D">
        <w:rPr>
          <w:b/>
          <w:bCs/>
          <w:sz w:val="22"/>
          <w:szCs w:val="22"/>
        </w:rPr>
        <w:t xml:space="preserve">Preparations available: </w:t>
      </w:r>
    </w:p>
    <w:p w14:paraId="5AF1FBBE" w14:textId="77777777" w:rsidR="00B71049" w:rsidRPr="00437E6D" w:rsidRDefault="00B71049" w:rsidP="00B71049">
      <w:pPr>
        <w:pStyle w:val="Default"/>
        <w:rPr>
          <w:sz w:val="22"/>
          <w:szCs w:val="22"/>
        </w:rPr>
      </w:pPr>
      <w:proofErr w:type="spellStart"/>
      <w:r w:rsidRPr="00437E6D">
        <w:rPr>
          <w:sz w:val="22"/>
          <w:szCs w:val="22"/>
        </w:rPr>
        <w:t>Riluzole</w:t>
      </w:r>
      <w:proofErr w:type="spellEnd"/>
      <w:r w:rsidRPr="00437E6D">
        <w:rPr>
          <w:sz w:val="22"/>
          <w:szCs w:val="22"/>
        </w:rPr>
        <w:t xml:space="preserve"> tablets 50mg </w:t>
      </w:r>
    </w:p>
    <w:p w14:paraId="1053A1C9" w14:textId="77777777" w:rsidR="00B71049" w:rsidRDefault="00B71049" w:rsidP="00B71049">
      <w:pPr>
        <w:pStyle w:val="Default"/>
        <w:rPr>
          <w:sz w:val="22"/>
          <w:szCs w:val="22"/>
        </w:rPr>
      </w:pPr>
      <w:proofErr w:type="spellStart"/>
      <w:r w:rsidRPr="00437E6D">
        <w:rPr>
          <w:sz w:val="22"/>
          <w:szCs w:val="22"/>
        </w:rPr>
        <w:t>Riluzole</w:t>
      </w:r>
      <w:proofErr w:type="spellEnd"/>
      <w:r w:rsidRPr="00437E6D">
        <w:rPr>
          <w:sz w:val="22"/>
          <w:szCs w:val="22"/>
        </w:rPr>
        <w:t xml:space="preserve"> Suspension 5mg/ml </w:t>
      </w:r>
    </w:p>
    <w:p w14:paraId="737255DD" w14:textId="77777777" w:rsidR="00B71049" w:rsidRPr="00437E6D" w:rsidRDefault="00B71049" w:rsidP="00B71049">
      <w:pPr>
        <w:pStyle w:val="Default"/>
        <w:rPr>
          <w:sz w:val="22"/>
          <w:szCs w:val="22"/>
        </w:rPr>
      </w:pPr>
      <w:r>
        <w:rPr>
          <w:sz w:val="22"/>
          <w:szCs w:val="22"/>
        </w:rPr>
        <w:t>Generic tablets should be prescribed in preference</w:t>
      </w:r>
    </w:p>
    <w:p w14:paraId="0454E1D2" w14:textId="77777777" w:rsidR="00B71049" w:rsidRPr="00437E6D" w:rsidRDefault="00B71049" w:rsidP="00B71049">
      <w:pPr>
        <w:pStyle w:val="Default"/>
        <w:rPr>
          <w:b/>
          <w:bCs/>
          <w:sz w:val="22"/>
          <w:szCs w:val="22"/>
        </w:rPr>
      </w:pPr>
    </w:p>
    <w:p w14:paraId="4767E35F" w14:textId="77777777" w:rsidR="00B71049" w:rsidRPr="00437E6D" w:rsidRDefault="00B71049" w:rsidP="00B71049">
      <w:pPr>
        <w:pStyle w:val="Default"/>
        <w:rPr>
          <w:b/>
          <w:sz w:val="22"/>
          <w:szCs w:val="22"/>
        </w:rPr>
      </w:pPr>
      <w:r w:rsidRPr="00437E6D">
        <w:rPr>
          <w:b/>
          <w:sz w:val="22"/>
          <w:szCs w:val="22"/>
        </w:rPr>
        <w:t>Patients with dysphagia (swallowing difficulties)</w:t>
      </w:r>
    </w:p>
    <w:p w14:paraId="778A822F" w14:textId="77777777" w:rsidR="00B71049" w:rsidRPr="00437E6D" w:rsidRDefault="00B71049" w:rsidP="00B71049">
      <w:pPr>
        <w:pStyle w:val="Default"/>
        <w:rPr>
          <w:sz w:val="22"/>
          <w:szCs w:val="22"/>
        </w:rPr>
      </w:pPr>
      <w:r w:rsidRPr="00437E6D">
        <w:rPr>
          <w:bCs/>
          <w:sz w:val="22"/>
          <w:szCs w:val="22"/>
        </w:rPr>
        <w:t>Please contact the MND specialist</w:t>
      </w:r>
      <w:r>
        <w:rPr>
          <w:bCs/>
          <w:sz w:val="22"/>
          <w:szCs w:val="22"/>
        </w:rPr>
        <w:t>s</w:t>
      </w:r>
      <w:r w:rsidRPr="00437E6D">
        <w:rPr>
          <w:bCs/>
          <w:sz w:val="22"/>
          <w:szCs w:val="22"/>
        </w:rPr>
        <w:t xml:space="preserve"> should the patient become dysphagic and subsequently unable to swallow tablets.</w:t>
      </w:r>
    </w:p>
    <w:p w14:paraId="17B13AA4" w14:textId="77777777" w:rsidR="00B71049" w:rsidRPr="00437E6D" w:rsidRDefault="00B71049" w:rsidP="00B71049">
      <w:pPr>
        <w:pStyle w:val="Default"/>
        <w:rPr>
          <w:sz w:val="22"/>
          <w:szCs w:val="22"/>
        </w:rPr>
      </w:pPr>
    </w:p>
    <w:p w14:paraId="052358E8" w14:textId="77777777" w:rsidR="00B71049" w:rsidRPr="00437E6D" w:rsidRDefault="00B71049" w:rsidP="00B71049">
      <w:pPr>
        <w:pStyle w:val="Default"/>
        <w:rPr>
          <w:b/>
          <w:bCs/>
          <w:i/>
          <w:sz w:val="22"/>
          <w:szCs w:val="22"/>
        </w:rPr>
      </w:pPr>
      <w:r w:rsidRPr="00437E6D">
        <w:rPr>
          <w:b/>
          <w:bCs/>
          <w:i/>
          <w:sz w:val="22"/>
          <w:szCs w:val="22"/>
        </w:rPr>
        <w:t>Oral administration:</w:t>
      </w:r>
    </w:p>
    <w:p w14:paraId="38168004" w14:textId="77777777" w:rsidR="00B71049" w:rsidRPr="00437E6D" w:rsidRDefault="00B71049" w:rsidP="00B71049">
      <w:pPr>
        <w:pStyle w:val="Default"/>
        <w:rPr>
          <w:i/>
          <w:sz w:val="22"/>
          <w:szCs w:val="22"/>
        </w:rPr>
      </w:pPr>
      <w:r w:rsidRPr="00437E6D">
        <w:rPr>
          <w:b/>
          <w:bCs/>
          <w:i/>
          <w:sz w:val="22"/>
          <w:szCs w:val="22"/>
        </w:rPr>
        <w:t xml:space="preserve"> </w:t>
      </w:r>
    </w:p>
    <w:p w14:paraId="5239FB15" w14:textId="77777777" w:rsidR="00B71049" w:rsidRPr="00437E6D" w:rsidRDefault="00B71049" w:rsidP="00B71049">
      <w:pPr>
        <w:pStyle w:val="Default"/>
        <w:numPr>
          <w:ilvl w:val="0"/>
          <w:numId w:val="11"/>
        </w:numPr>
        <w:rPr>
          <w:sz w:val="22"/>
          <w:szCs w:val="22"/>
        </w:rPr>
      </w:pPr>
      <w:proofErr w:type="spellStart"/>
      <w:r w:rsidRPr="00437E6D">
        <w:rPr>
          <w:sz w:val="22"/>
          <w:szCs w:val="22"/>
        </w:rPr>
        <w:t>Riluzole</w:t>
      </w:r>
      <w:proofErr w:type="spellEnd"/>
      <w:r w:rsidRPr="00437E6D">
        <w:rPr>
          <w:sz w:val="22"/>
          <w:szCs w:val="22"/>
        </w:rPr>
        <w:t xml:space="preserve"> suspension (</w:t>
      </w:r>
      <w:proofErr w:type="spellStart"/>
      <w:r w:rsidRPr="00437E6D">
        <w:rPr>
          <w:sz w:val="22"/>
          <w:szCs w:val="22"/>
        </w:rPr>
        <w:t>Teglutik</w:t>
      </w:r>
      <w:proofErr w:type="spellEnd"/>
      <w:r w:rsidRPr="00437E6D">
        <w:rPr>
          <w:sz w:val="22"/>
          <w:szCs w:val="22"/>
        </w:rPr>
        <w:t>™) is licensed orally for patients with ALS.  Please discuss with the MND team before switching to the liquid formulation.</w:t>
      </w:r>
    </w:p>
    <w:p w14:paraId="15624879" w14:textId="77777777" w:rsidR="00B71049" w:rsidRPr="00437E6D" w:rsidRDefault="00B71049" w:rsidP="00B71049">
      <w:pPr>
        <w:pStyle w:val="Default"/>
        <w:numPr>
          <w:ilvl w:val="0"/>
          <w:numId w:val="11"/>
        </w:numPr>
        <w:rPr>
          <w:sz w:val="22"/>
          <w:szCs w:val="22"/>
        </w:rPr>
      </w:pPr>
      <w:r w:rsidRPr="00437E6D">
        <w:rPr>
          <w:sz w:val="22"/>
          <w:szCs w:val="22"/>
        </w:rPr>
        <w:t xml:space="preserve">If needed, the </w:t>
      </w:r>
      <w:proofErr w:type="spellStart"/>
      <w:r w:rsidRPr="00437E6D">
        <w:rPr>
          <w:sz w:val="22"/>
          <w:szCs w:val="22"/>
        </w:rPr>
        <w:t>riluzole</w:t>
      </w:r>
      <w:proofErr w:type="spellEnd"/>
      <w:r w:rsidRPr="00437E6D">
        <w:rPr>
          <w:sz w:val="22"/>
          <w:szCs w:val="22"/>
        </w:rPr>
        <w:t xml:space="preserve"> tablets may be crushed and mixed with soft food such as yoghurt or puree. They should be administered within fifteen minutes. The crushed tablets may have a local </w:t>
      </w:r>
      <w:r w:rsidRPr="00437E6D">
        <w:rPr>
          <w:sz w:val="22"/>
          <w:szCs w:val="22"/>
        </w:rPr>
        <w:lastRenderedPageBreak/>
        <w:t xml:space="preserve">anaesthetic effect in the mouth. It should also be noted that absorption may be affected by fatty food. This is an unlicensed use of a licensed medication </w:t>
      </w:r>
    </w:p>
    <w:p w14:paraId="7682F663" w14:textId="77777777" w:rsidR="00B71049" w:rsidRPr="00437E6D" w:rsidRDefault="00B71049" w:rsidP="00B71049">
      <w:pPr>
        <w:pStyle w:val="Default"/>
        <w:rPr>
          <w:sz w:val="22"/>
          <w:szCs w:val="22"/>
        </w:rPr>
      </w:pPr>
    </w:p>
    <w:p w14:paraId="19332928" w14:textId="77777777" w:rsidR="00B71049" w:rsidRPr="00437E6D" w:rsidRDefault="00B71049" w:rsidP="00B71049">
      <w:pPr>
        <w:pStyle w:val="Default"/>
        <w:rPr>
          <w:b/>
          <w:bCs/>
          <w:i/>
          <w:sz w:val="22"/>
          <w:szCs w:val="22"/>
        </w:rPr>
      </w:pPr>
      <w:r w:rsidRPr="00437E6D">
        <w:rPr>
          <w:b/>
          <w:bCs/>
          <w:i/>
          <w:sz w:val="22"/>
          <w:szCs w:val="22"/>
        </w:rPr>
        <w:t>For administration via feeding tubes:</w:t>
      </w:r>
    </w:p>
    <w:p w14:paraId="5ABE9A4D" w14:textId="77777777" w:rsidR="00B71049" w:rsidRPr="00437E6D" w:rsidRDefault="00B71049" w:rsidP="00B71049">
      <w:pPr>
        <w:pStyle w:val="Default"/>
        <w:rPr>
          <w:i/>
          <w:sz w:val="22"/>
          <w:szCs w:val="22"/>
        </w:rPr>
      </w:pPr>
    </w:p>
    <w:p w14:paraId="5D3273B5" w14:textId="77777777" w:rsidR="00B71049" w:rsidRPr="00437E6D" w:rsidRDefault="00B71049" w:rsidP="00B71049">
      <w:pPr>
        <w:pStyle w:val="Default"/>
        <w:numPr>
          <w:ilvl w:val="0"/>
          <w:numId w:val="12"/>
        </w:numPr>
        <w:ind w:left="360"/>
        <w:rPr>
          <w:sz w:val="22"/>
          <w:szCs w:val="22"/>
        </w:rPr>
      </w:pPr>
      <w:r w:rsidRPr="00437E6D">
        <w:rPr>
          <w:sz w:val="22"/>
          <w:szCs w:val="22"/>
        </w:rPr>
        <w:t xml:space="preserve">The manufacturers of </w:t>
      </w:r>
      <w:proofErr w:type="spellStart"/>
      <w:r w:rsidRPr="00437E6D">
        <w:rPr>
          <w:sz w:val="22"/>
          <w:szCs w:val="22"/>
        </w:rPr>
        <w:t>riluzole</w:t>
      </w:r>
      <w:proofErr w:type="spellEnd"/>
      <w:r w:rsidRPr="00437E6D">
        <w:rPr>
          <w:sz w:val="22"/>
          <w:szCs w:val="22"/>
        </w:rPr>
        <w:t xml:space="preserve"> oral suspension (</w:t>
      </w:r>
      <w:proofErr w:type="spellStart"/>
      <w:r w:rsidRPr="00437E6D">
        <w:rPr>
          <w:sz w:val="22"/>
          <w:szCs w:val="22"/>
        </w:rPr>
        <w:t>Teglutik</w:t>
      </w:r>
      <w:proofErr w:type="spellEnd"/>
      <w:r w:rsidRPr="00437E6D">
        <w:rPr>
          <w:sz w:val="22"/>
          <w:szCs w:val="22"/>
        </w:rPr>
        <w:t xml:space="preserve">™) advise that it can be administered </w:t>
      </w:r>
      <w:r>
        <w:rPr>
          <w:sz w:val="22"/>
          <w:szCs w:val="22"/>
        </w:rPr>
        <w:t>through an enteral feeding tube.  This is a licensed use of a licensed medicine</w:t>
      </w:r>
    </w:p>
    <w:p w14:paraId="738DCAA1" w14:textId="77777777" w:rsidR="00B71049" w:rsidRPr="00437E6D" w:rsidRDefault="00B71049" w:rsidP="00B71049">
      <w:pPr>
        <w:pStyle w:val="Default"/>
        <w:numPr>
          <w:ilvl w:val="0"/>
          <w:numId w:val="12"/>
        </w:numPr>
        <w:ind w:left="382" w:hanging="382"/>
        <w:rPr>
          <w:sz w:val="22"/>
          <w:szCs w:val="22"/>
        </w:rPr>
      </w:pPr>
      <w:r>
        <w:rPr>
          <w:sz w:val="22"/>
          <w:szCs w:val="22"/>
        </w:rPr>
        <w:t>T</w:t>
      </w:r>
      <w:r w:rsidRPr="00437E6D">
        <w:rPr>
          <w:sz w:val="22"/>
          <w:szCs w:val="22"/>
        </w:rPr>
        <w:t xml:space="preserve">he manufacturer of </w:t>
      </w:r>
      <w:proofErr w:type="spellStart"/>
      <w:r w:rsidRPr="00437E6D">
        <w:rPr>
          <w:sz w:val="22"/>
          <w:szCs w:val="22"/>
        </w:rPr>
        <w:t>Rilutek</w:t>
      </w:r>
      <w:proofErr w:type="spellEnd"/>
      <w:r w:rsidRPr="00437E6D">
        <w:rPr>
          <w:sz w:val="22"/>
          <w:szCs w:val="22"/>
        </w:rPr>
        <w:t xml:space="preserve">® brand has anecdotal reports that the tablets can be crushed and mixed with water. The 'resulting suspension' should be administered within 15 minutes for enteral administration. This is an unlicensed use of a licensed medication </w:t>
      </w:r>
    </w:p>
    <w:p w14:paraId="21A38790" w14:textId="77777777" w:rsidR="00B71049" w:rsidRPr="00437E6D" w:rsidRDefault="00B71049" w:rsidP="00B71049">
      <w:pPr>
        <w:pStyle w:val="Default"/>
        <w:numPr>
          <w:ilvl w:val="0"/>
          <w:numId w:val="12"/>
        </w:numPr>
        <w:ind w:left="382" w:hanging="382"/>
        <w:rPr>
          <w:sz w:val="22"/>
          <w:szCs w:val="22"/>
        </w:rPr>
      </w:pPr>
      <w:r w:rsidRPr="00437E6D">
        <w:rPr>
          <w:sz w:val="22"/>
          <w:szCs w:val="22"/>
        </w:rPr>
        <w:t xml:space="preserve">Administration of </w:t>
      </w:r>
      <w:proofErr w:type="spellStart"/>
      <w:r w:rsidRPr="00437E6D">
        <w:rPr>
          <w:sz w:val="22"/>
          <w:szCs w:val="22"/>
        </w:rPr>
        <w:t>riluzole</w:t>
      </w:r>
      <w:proofErr w:type="spellEnd"/>
      <w:r w:rsidRPr="00437E6D">
        <w:rPr>
          <w:sz w:val="22"/>
          <w:szCs w:val="22"/>
        </w:rPr>
        <w:t xml:space="preserve"> through enteral tubes will have to be a clinical decision on an individual basis. </w:t>
      </w:r>
    </w:p>
    <w:p w14:paraId="6DA2B9BD" w14:textId="6DBF1C1C" w:rsidR="00B71049" w:rsidRPr="004D4122" w:rsidRDefault="00B71049" w:rsidP="004D4122">
      <w:pPr>
        <w:pStyle w:val="Default"/>
        <w:numPr>
          <w:ilvl w:val="0"/>
          <w:numId w:val="12"/>
        </w:numPr>
        <w:ind w:left="382" w:hanging="382"/>
        <w:rPr>
          <w:sz w:val="22"/>
          <w:szCs w:val="22"/>
        </w:rPr>
      </w:pPr>
      <w:r w:rsidRPr="00437E6D">
        <w:rPr>
          <w:sz w:val="22"/>
          <w:szCs w:val="22"/>
        </w:rPr>
        <w:t xml:space="preserve">There have been reports of crushed </w:t>
      </w:r>
      <w:proofErr w:type="spellStart"/>
      <w:r w:rsidRPr="00437E6D">
        <w:rPr>
          <w:sz w:val="22"/>
          <w:szCs w:val="22"/>
        </w:rPr>
        <w:t>riluzole</w:t>
      </w:r>
      <w:proofErr w:type="spellEnd"/>
      <w:r w:rsidRPr="00437E6D">
        <w:rPr>
          <w:sz w:val="22"/>
          <w:szCs w:val="22"/>
        </w:rPr>
        <w:t xml:space="preserve"> tablet suspension blocking enteral feeding tubes, so ensure the tube is flushed with at least 30mls sterile water after administration. </w:t>
      </w:r>
    </w:p>
    <w:p w14:paraId="16BC6E3D" w14:textId="77777777" w:rsidR="00B71049" w:rsidRDefault="00B71049" w:rsidP="00B71049">
      <w:pPr>
        <w:jc w:val="both"/>
        <w:rPr>
          <w:rFonts w:ascii="Arial" w:hAnsi="Arial" w:cs="Arial"/>
          <w:b/>
          <w:bCs/>
        </w:rPr>
      </w:pPr>
    </w:p>
    <w:p w14:paraId="55DDE743" w14:textId="166EF0D4" w:rsidR="00B71049" w:rsidRPr="002C04F8" w:rsidRDefault="002C04F8" w:rsidP="002C04F8">
      <w:pPr>
        <w:pStyle w:val="Heading2"/>
        <w:jc w:val="both"/>
        <w:rPr>
          <w:rFonts w:ascii="Arial" w:hAnsi="Arial" w:cs="Arial"/>
          <w:b/>
          <w:bCs/>
          <w:color w:val="auto"/>
          <w:sz w:val="22"/>
          <w:szCs w:val="22"/>
        </w:rPr>
      </w:pPr>
      <w:r w:rsidRPr="002C04F8">
        <w:rPr>
          <w:rFonts w:ascii="Arial" w:hAnsi="Arial" w:cs="Arial"/>
          <w:b/>
          <w:bCs/>
          <w:color w:val="auto"/>
          <w:sz w:val="22"/>
          <w:szCs w:val="22"/>
        </w:rPr>
        <w:t>4.</w:t>
      </w:r>
      <w:r w:rsidR="00B71049" w:rsidRPr="002C04F8">
        <w:rPr>
          <w:rFonts w:ascii="Arial" w:hAnsi="Arial" w:cs="Arial"/>
          <w:b/>
          <w:bCs/>
          <w:color w:val="auto"/>
          <w:sz w:val="22"/>
          <w:szCs w:val="22"/>
        </w:rPr>
        <w:t>Duration of treatment</w:t>
      </w:r>
    </w:p>
    <w:p w14:paraId="3CFDCBA8" w14:textId="77777777" w:rsidR="00B71049" w:rsidRDefault="00B71049" w:rsidP="00B71049">
      <w:pPr>
        <w:jc w:val="both"/>
        <w:rPr>
          <w:rFonts w:ascii="Arial" w:hAnsi="Arial" w:cs="Arial"/>
        </w:rPr>
      </w:pPr>
      <w:r>
        <w:rPr>
          <w:rFonts w:ascii="Arial" w:hAnsi="Arial" w:cs="Arial"/>
        </w:rPr>
        <w:t>May be long term, as advised by specialist.</w:t>
      </w:r>
    </w:p>
    <w:p w14:paraId="6F7ACF75" w14:textId="77777777" w:rsidR="00B71049" w:rsidRDefault="00B71049" w:rsidP="00B71049">
      <w:pPr>
        <w:jc w:val="both"/>
        <w:rPr>
          <w:rFonts w:ascii="Arial" w:hAnsi="Arial" w:cs="Arial"/>
        </w:rPr>
      </w:pPr>
    </w:p>
    <w:p w14:paraId="5575BD21" w14:textId="279B645F" w:rsidR="00B71049" w:rsidRDefault="002C04F8" w:rsidP="002C04F8">
      <w:pPr>
        <w:spacing w:before="0" w:after="0"/>
        <w:jc w:val="both"/>
        <w:rPr>
          <w:rFonts w:ascii="Arial" w:hAnsi="Arial" w:cs="Arial"/>
          <w:b/>
          <w:bCs/>
        </w:rPr>
      </w:pPr>
      <w:r>
        <w:rPr>
          <w:rFonts w:ascii="Arial" w:hAnsi="Arial" w:cs="Arial"/>
          <w:b/>
          <w:bCs/>
        </w:rPr>
        <w:t>5.</w:t>
      </w:r>
      <w:r w:rsidR="00B71049">
        <w:rPr>
          <w:rFonts w:ascii="Arial" w:hAnsi="Arial" w:cs="Arial"/>
          <w:b/>
          <w:bCs/>
        </w:rPr>
        <w:t>Adverse effects</w:t>
      </w:r>
    </w:p>
    <w:p w14:paraId="20E57E1F" w14:textId="77777777" w:rsidR="00B71049" w:rsidRDefault="00B71049" w:rsidP="00B71049">
      <w:pPr>
        <w:autoSpaceDE w:val="0"/>
        <w:autoSpaceDN w:val="0"/>
        <w:adjustRightInd w:val="0"/>
        <w:jc w:val="both"/>
        <w:rPr>
          <w:rFonts w:ascii="Arial" w:hAnsi="Arial" w:cs="Arial"/>
        </w:rPr>
      </w:pPr>
    </w:p>
    <w:p w14:paraId="1F242AA7" w14:textId="77777777" w:rsidR="00B71049" w:rsidRPr="00195BA5" w:rsidRDefault="00B71049" w:rsidP="00B71049">
      <w:pPr>
        <w:autoSpaceDE w:val="0"/>
        <w:autoSpaceDN w:val="0"/>
        <w:adjustRightInd w:val="0"/>
        <w:rPr>
          <w:rFonts w:ascii="Arial" w:hAnsi="Arial" w:cs="Arial"/>
          <w:color w:val="000000"/>
          <w:lang w:eastAsia="en-GB"/>
        </w:rPr>
      </w:pPr>
      <w:r w:rsidRPr="00195BA5">
        <w:rPr>
          <w:rFonts w:ascii="Arial" w:hAnsi="Arial" w:cs="Arial"/>
          <w:color w:val="000000"/>
          <w:lang w:eastAsia="en-GB"/>
        </w:rPr>
        <w:t xml:space="preserve">The </w:t>
      </w:r>
      <w:proofErr w:type="gramStart"/>
      <w:r w:rsidRPr="00195BA5">
        <w:rPr>
          <w:rFonts w:ascii="Arial" w:hAnsi="Arial" w:cs="Arial"/>
          <w:color w:val="000000"/>
          <w:lang w:eastAsia="en-GB"/>
        </w:rPr>
        <w:t>most commonly reported</w:t>
      </w:r>
      <w:proofErr w:type="gramEnd"/>
      <w:r w:rsidRPr="00195BA5">
        <w:rPr>
          <w:rFonts w:ascii="Arial" w:hAnsi="Arial" w:cs="Arial"/>
          <w:color w:val="000000"/>
          <w:lang w:eastAsia="en-GB"/>
        </w:rPr>
        <w:t xml:space="preserve"> adverse reactions were:</w:t>
      </w:r>
    </w:p>
    <w:p w14:paraId="498515C5" w14:textId="77777777" w:rsidR="00B71049" w:rsidRPr="00195BA5" w:rsidRDefault="00B71049" w:rsidP="00B71049">
      <w:pPr>
        <w:numPr>
          <w:ilvl w:val="0"/>
          <w:numId w:val="9"/>
        </w:numPr>
        <w:autoSpaceDE w:val="0"/>
        <w:autoSpaceDN w:val="0"/>
        <w:adjustRightInd w:val="0"/>
        <w:spacing w:before="0" w:after="0"/>
        <w:rPr>
          <w:rFonts w:ascii="Arial" w:hAnsi="Arial" w:cs="Arial"/>
          <w:color w:val="000000"/>
          <w:lang w:eastAsia="en-GB"/>
        </w:rPr>
      </w:pPr>
      <w:r w:rsidRPr="00195BA5">
        <w:rPr>
          <w:rFonts w:ascii="Arial" w:hAnsi="Arial" w:cs="Arial"/>
          <w:b/>
          <w:bCs/>
          <w:color w:val="000000"/>
          <w:lang w:eastAsia="en-GB"/>
        </w:rPr>
        <w:t xml:space="preserve">GI disturbance </w:t>
      </w:r>
      <w:r w:rsidRPr="00195BA5">
        <w:rPr>
          <w:rFonts w:ascii="Arial" w:hAnsi="Arial" w:cs="Arial"/>
          <w:color w:val="000000"/>
          <w:lang w:eastAsia="en-GB"/>
        </w:rPr>
        <w:t xml:space="preserve">– nausea, diarrhoea, abdominal </w:t>
      </w:r>
      <w:proofErr w:type="gramStart"/>
      <w:r w:rsidRPr="00195BA5">
        <w:rPr>
          <w:rFonts w:ascii="Arial" w:hAnsi="Arial" w:cs="Arial"/>
          <w:color w:val="000000"/>
          <w:lang w:eastAsia="en-GB"/>
        </w:rPr>
        <w:t>pain</w:t>
      </w:r>
      <w:proofErr w:type="gramEnd"/>
      <w:r w:rsidRPr="00195BA5">
        <w:rPr>
          <w:rFonts w:ascii="Arial" w:hAnsi="Arial" w:cs="Arial"/>
          <w:color w:val="000000"/>
          <w:lang w:eastAsia="en-GB"/>
        </w:rPr>
        <w:t xml:space="preserve"> and vomiting.</w:t>
      </w:r>
    </w:p>
    <w:p w14:paraId="11A0FCE3" w14:textId="77777777" w:rsidR="00B71049" w:rsidRPr="00195BA5" w:rsidRDefault="00B71049" w:rsidP="00B71049">
      <w:pPr>
        <w:numPr>
          <w:ilvl w:val="0"/>
          <w:numId w:val="9"/>
        </w:numPr>
        <w:autoSpaceDE w:val="0"/>
        <w:autoSpaceDN w:val="0"/>
        <w:adjustRightInd w:val="0"/>
        <w:spacing w:before="0" w:after="0"/>
        <w:rPr>
          <w:rFonts w:ascii="Arial" w:hAnsi="Arial" w:cs="Arial"/>
          <w:color w:val="000000"/>
          <w:lang w:eastAsia="en-GB"/>
        </w:rPr>
      </w:pPr>
      <w:r w:rsidRPr="00195BA5">
        <w:rPr>
          <w:rFonts w:ascii="Arial" w:hAnsi="Arial" w:cs="Arial"/>
          <w:b/>
          <w:bCs/>
          <w:color w:val="000000"/>
          <w:lang w:eastAsia="en-GB"/>
        </w:rPr>
        <w:t xml:space="preserve">Abnormal liver function tests </w:t>
      </w:r>
      <w:r w:rsidRPr="00195BA5">
        <w:rPr>
          <w:rFonts w:ascii="Arial" w:hAnsi="Arial" w:cs="Arial"/>
          <w:color w:val="000000"/>
          <w:lang w:eastAsia="en-GB"/>
        </w:rPr>
        <w:t xml:space="preserve">- increased alanine aminotransferase usually appears within 3 months after the start of therapy with </w:t>
      </w:r>
      <w:proofErr w:type="spellStart"/>
      <w:r w:rsidRPr="00195BA5">
        <w:rPr>
          <w:rFonts w:ascii="Arial" w:hAnsi="Arial" w:cs="Arial"/>
          <w:color w:val="000000"/>
          <w:lang w:eastAsia="en-GB"/>
        </w:rPr>
        <w:t>riluzole</w:t>
      </w:r>
      <w:proofErr w:type="spellEnd"/>
      <w:r w:rsidRPr="00195BA5">
        <w:rPr>
          <w:rFonts w:ascii="Arial" w:hAnsi="Arial" w:cs="Arial"/>
          <w:color w:val="000000"/>
          <w:lang w:eastAsia="en-GB"/>
        </w:rPr>
        <w:t xml:space="preserve">; they are usually </w:t>
      </w:r>
      <w:proofErr w:type="gramStart"/>
      <w:r w:rsidRPr="00195BA5">
        <w:rPr>
          <w:rFonts w:ascii="Arial" w:hAnsi="Arial" w:cs="Arial"/>
          <w:color w:val="000000"/>
          <w:lang w:eastAsia="en-GB"/>
        </w:rPr>
        <w:t>transient</w:t>
      </w:r>
      <w:proofErr w:type="gramEnd"/>
      <w:r w:rsidRPr="00195BA5">
        <w:rPr>
          <w:rFonts w:ascii="Arial" w:hAnsi="Arial" w:cs="Arial"/>
          <w:color w:val="000000"/>
          <w:lang w:eastAsia="en-GB"/>
        </w:rPr>
        <w:t xml:space="preserve"> and levels return to below twice the ULN after 2 to 6 months while treatment was continued. These increases could be associated with jaundice.</w:t>
      </w:r>
    </w:p>
    <w:p w14:paraId="68124D87" w14:textId="77777777" w:rsidR="00B71049" w:rsidRPr="00195BA5" w:rsidRDefault="00B71049" w:rsidP="00B71049">
      <w:pPr>
        <w:numPr>
          <w:ilvl w:val="0"/>
          <w:numId w:val="9"/>
        </w:numPr>
        <w:autoSpaceDE w:val="0"/>
        <w:autoSpaceDN w:val="0"/>
        <w:adjustRightInd w:val="0"/>
        <w:spacing w:before="0" w:after="0"/>
        <w:rPr>
          <w:rFonts w:ascii="Arial" w:hAnsi="Arial" w:cs="Arial"/>
          <w:color w:val="000000"/>
          <w:lang w:eastAsia="en-GB"/>
        </w:rPr>
      </w:pPr>
      <w:r w:rsidRPr="00195BA5">
        <w:rPr>
          <w:rFonts w:ascii="Arial" w:eastAsia="SymbolMT" w:hAnsi="Arial" w:cs="Arial"/>
          <w:color w:val="000000"/>
          <w:lang w:eastAsia="en-GB"/>
        </w:rPr>
        <w:t xml:space="preserve"> </w:t>
      </w:r>
      <w:r w:rsidRPr="00195BA5">
        <w:rPr>
          <w:rFonts w:ascii="Arial" w:hAnsi="Arial" w:cs="Arial"/>
          <w:b/>
          <w:bCs/>
          <w:color w:val="000000"/>
          <w:lang w:eastAsia="en-GB"/>
        </w:rPr>
        <w:t xml:space="preserve">Headache, oral paraesthesia, somnolence, </w:t>
      </w:r>
      <w:proofErr w:type="gramStart"/>
      <w:r w:rsidRPr="00195BA5">
        <w:rPr>
          <w:rFonts w:ascii="Arial" w:hAnsi="Arial" w:cs="Arial"/>
          <w:b/>
          <w:bCs/>
          <w:color w:val="000000"/>
          <w:lang w:eastAsia="en-GB"/>
        </w:rPr>
        <w:t>tachycardia</w:t>
      </w:r>
      <w:proofErr w:type="gramEnd"/>
      <w:r w:rsidRPr="00195BA5">
        <w:rPr>
          <w:rFonts w:ascii="Arial" w:hAnsi="Arial" w:cs="Arial"/>
          <w:b/>
          <w:bCs/>
          <w:color w:val="000000"/>
          <w:lang w:eastAsia="en-GB"/>
        </w:rPr>
        <w:t xml:space="preserve"> and asthenia</w:t>
      </w:r>
    </w:p>
    <w:p w14:paraId="213535AC" w14:textId="77777777" w:rsidR="00B71049" w:rsidRPr="00195BA5" w:rsidRDefault="00B71049" w:rsidP="00B71049">
      <w:pPr>
        <w:autoSpaceDE w:val="0"/>
        <w:autoSpaceDN w:val="0"/>
        <w:adjustRightInd w:val="0"/>
        <w:ind w:left="720"/>
        <w:rPr>
          <w:rFonts w:ascii="Arial" w:hAnsi="Arial" w:cs="Arial"/>
          <w:color w:val="000000"/>
          <w:lang w:eastAsia="en-GB"/>
        </w:rPr>
      </w:pPr>
    </w:p>
    <w:p w14:paraId="1158C41B" w14:textId="77777777" w:rsidR="00B71049" w:rsidRPr="00195BA5" w:rsidRDefault="00B71049" w:rsidP="00B71049">
      <w:pPr>
        <w:autoSpaceDE w:val="0"/>
        <w:autoSpaceDN w:val="0"/>
        <w:adjustRightInd w:val="0"/>
        <w:rPr>
          <w:rFonts w:ascii="Arial" w:hAnsi="Arial" w:cs="Arial"/>
          <w:color w:val="000000"/>
          <w:lang w:eastAsia="en-GB"/>
        </w:rPr>
      </w:pPr>
      <w:r w:rsidRPr="00195BA5">
        <w:rPr>
          <w:rFonts w:ascii="Arial" w:hAnsi="Arial" w:cs="Arial"/>
          <w:color w:val="000000"/>
          <w:lang w:eastAsia="en-GB"/>
        </w:rPr>
        <w:t>Other adverse effects include</w:t>
      </w:r>
    </w:p>
    <w:p w14:paraId="1567F144" w14:textId="77777777" w:rsidR="00B71049" w:rsidRPr="00195BA5" w:rsidRDefault="00B71049" w:rsidP="00B71049">
      <w:pPr>
        <w:numPr>
          <w:ilvl w:val="0"/>
          <w:numId w:val="10"/>
        </w:numPr>
        <w:autoSpaceDE w:val="0"/>
        <w:autoSpaceDN w:val="0"/>
        <w:adjustRightInd w:val="0"/>
        <w:spacing w:before="0" w:after="0"/>
        <w:rPr>
          <w:rFonts w:ascii="Arial" w:hAnsi="Arial" w:cs="Arial"/>
          <w:color w:val="000000"/>
          <w:lang w:eastAsia="en-GB"/>
        </w:rPr>
      </w:pPr>
      <w:r w:rsidRPr="00195BA5">
        <w:rPr>
          <w:rFonts w:ascii="Arial" w:eastAsia="SymbolMT" w:hAnsi="Arial" w:cs="Arial"/>
          <w:color w:val="000000"/>
          <w:lang w:eastAsia="en-GB"/>
        </w:rPr>
        <w:t xml:space="preserve"> </w:t>
      </w:r>
      <w:r w:rsidRPr="00195BA5">
        <w:rPr>
          <w:rFonts w:ascii="Arial" w:hAnsi="Arial" w:cs="Arial"/>
          <w:b/>
          <w:bCs/>
          <w:color w:val="000000"/>
          <w:lang w:eastAsia="en-GB"/>
        </w:rPr>
        <w:t xml:space="preserve">Neutropenia </w:t>
      </w:r>
      <w:r w:rsidRPr="00195BA5">
        <w:rPr>
          <w:rFonts w:ascii="Arial" w:hAnsi="Arial" w:cs="Arial"/>
          <w:color w:val="000000"/>
          <w:lang w:eastAsia="en-GB"/>
        </w:rPr>
        <w:t>–isolated reports, see monitoring (below)</w:t>
      </w:r>
    </w:p>
    <w:p w14:paraId="4F9F6CAF" w14:textId="77777777" w:rsidR="00B71049" w:rsidRPr="00195BA5" w:rsidRDefault="00B71049" w:rsidP="00B71049">
      <w:pPr>
        <w:numPr>
          <w:ilvl w:val="0"/>
          <w:numId w:val="10"/>
        </w:numPr>
        <w:autoSpaceDE w:val="0"/>
        <w:autoSpaceDN w:val="0"/>
        <w:adjustRightInd w:val="0"/>
        <w:spacing w:before="0" w:after="0"/>
        <w:rPr>
          <w:rFonts w:ascii="Arial" w:hAnsi="Arial" w:cs="Arial"/>
          <w:color w:val="000000"/>
          <w:lang w:eastAsia="en-GB"/>
        </w:rPr>
      </w:pPr>
      <w:r w:rsidRPr="00195BA5">
        <w:rPr>
          <w:rFonts w:ascii="Arial" w:eastAsia="SymbolMT" w:hAnsi="Arial" w:cs="Arial"/>
          <w:b/>
          <w:color w:val="000000"/>
          <w:lang w:eastAsia="en-GB"/>
        </w:rPr>
        <w:t>Anaemia</w:t>
      </w:r>
    </w:p>
    <w:p w14:paraId="0F648E8E" w14:textId="610D7CAB" w:rsidR="00B71049" w:rsidRPr="002C04F8" w:rsidRDefault="00B71049" w:rsidP="002C04F8">
      <w:pPr>
        <w:numPr>
          <w:ilvl w:val="0"/>
          <w:numId w:val="10"/>
        </w:numPr>
        <w:autoSpaceDE w:val="0"/>
        <w:autoSpaceDN w:val="0"/>
        <w:adjustRightInd w:val="0"/>
        <w:spacing w:before="0" w:after="0"/>
        <w:rPr>
          <w:rFonts w:ascii="Arial" w:hAnsi="Arial" w:cs="Arial"/>
        </w:rPr>
      </w:pPr>
      <w:r w:rsidRPr="00195BA5">
        <w:rPr>
          <w:rFonts w:ascii="Arial" w:hAnsi="Arial" w:cs="Arial"/>
          <w:b/>
          <w:bCs/>
          <w:color w:val="000000"/>
          <w:lang w:eastAsia="en-GB"/>
        </w:rPr>
        <w:t xml:space="preserve">Dizziness and Vertigo – </w:t>
      </w:r>
      <w:r w:rsidRPr="00195BA5">
        <w:rPr>
          <w:rFonts w:ascii="Arial" w:hAnsi="Arial" w:cs="Arial"/>
          <w:color w:val="000000"/>
          <w:lang w:eastAsia="en-GB"/>
        </w:rPr>
        <w:t>patients should be advised if affected not to drive or operating machinery</w:t>
      </w:r>
    </w:p>
    <w:p w14:paraId="1FBD9556" w14:textId="77777777" w:rsidR="00B71049" w:rsidRDefault="00B71049" w:rsidP="00B71049">
      <w:pPr>
        <w:autoSpaceDE w:val="0"/>
        <w:autoSpaceDN w:val="0"/>
        <w:adjustRightInd w:val="0"/>
        <w:jc w:val="both"/>
        <w:rPr>
          <w:rFonts w:ascii="Arial" w:hAnsi="Arial" w:cs="Arial"/>
        </w:rPr>
      </w:pPr>
      <w:proofErr w:type="spellStart"/>
      <w:r>
        <w:rPr>
          <w:rFonts w:ascii="Arial" w:hAnsi="Arial" w:cs="Arial"/>
        </w:rPr>
        <w:t>Riluzole</w:t>
      </w:r>
      <w:proofErr w:type="spellEnd"/>
      <w:r>
        <w:rPr>
          <w:rFonts w:ascii="Arial" w:hAnsi="Arial" w:cs="Arial"/>
        </w:rPr>
        <w:t xml:space="preserve"> is contraindicated in the presence of hepatic and/or renal impairment and during pregnancy and breast-feeding. </w:t>
      </w:r>
    </w:p>
    <w:p w14:paraId="4716BD1D" w14:textId="77777777" w:rsidR="00B71049" w:rsidRDefault="00B71049" w:rsidP="00B71049">
      <w:pPr>
        <w:jc w:val="both"/>
        <w:rPr>
          <w:rFonts w:ascii="Arial" w:hAnsi="Arial" w:cs="Arial"/>
        </w:rPr>
      </w:pPr>
    </w:p>
    <w:p w14:paraId="1A636C79" w14:textId="2C7FC085" w:rsidR="00B71049" w:rsidRPr="002C04F8" w:rsidRDefault="002C04F8" w:rsidP="002C04F8">
      <w:pPr>
        <w:spacing w:before="0" w:after="0"/>
        <w:jc w:val="both"/>
        <w:rPr>
          <w:rFonts w:ascii="Arial" w:hAnsi="Arial" w:cs="Arial"/>
          <w:b/>
          <w:bCs/>
        </w:rPr>
      </w:pPr>
      <w:r>
        <w:rPr>
          <w:rFonts w:ascii="Arial" w:hAnsi="Arial" w:cs="Arial"/>
          <w:b/>
          <w:bCs/>
        </w:rPr>
        <w:t>6.</w:t>
      </w:r>
      <w:r w:rsidR="00B71049">
        <w:rPr>
          <w:rFonts w:ascii="Arial" w:hAnsi="Arial" w:cs="Arial"/>
          <w:b/>
          <w:bCs/>
        </w:rPr>
        <w:t>Interactions</w:t>
      </w:r>
    </w:p>
    <w:p w14:paraId="734520CA" w14:textId="77777777" w:rsidR="00B71049" w:rsidRDefault="00B71049" w:rsidP="00B71049">
      <w:pPr>
        <w:autoSpaceDE w:val="0"/>
        <w:autoSpaceDN w:val="0"/>
        <w:adjustRightInd w:val="0"/>
        <w:jc w:val="both"/>
        <w:rPr>
          <w:rFonts w:ascii="Arial" w:hAnsi="Arial" w:cs="Arial"/>
        </w:rPr>
      </w:pPr>
      <w:r>
        <w:rPr>
          <w:rFonts w:ascii="Arial" w:hAnsi="Arial" w:cs="Arial"/>
        </w:rPr>
        <w:t xml:space="preserve">No interactions are known, but as </w:t>
      </w:r>
      <w:proofErr w:type="spellStart"/>
      <w:r>
        <w:rPr>
          <w:rFonts w:ascii="Arial" w:hAnsi="Arial" w:cs="Arial"/>
        </w:rPr>
        <w:t>riluzole</w:t>
      </w:r>
      <w:proofErr w:type="spellEnd"/>
      <w:r>
        <w:rPr>
          <w:rFonts w:ascii="Arial" w:hAnsi="Arial" w:cs="Arial"/>
        </w:rPr>
        <w:t xml:space="preserve"> is metabolised by the liver the potential for interactions should be considered. </w:t>
      </w:r>
    </w:p>
    <w:p w14:paraId="3E07E67C" w14:textId="77777777" w:rsidR="00B71049" w:rsidRDefault="00B71049" w:rsidP="00B71049">
      <w:pPr>
        <w:jc w:val="both"/>
        <w:rPr>
          <w:rFonts w:ascii="Arial" w:hAnsi="Arial" w:cs="Arial"/>
        </w:rPr>
      </w:pPr>
    </w:p>
    <w:p w14:paraId="42C16435" w14:textId="3D6C514B" w:rsidR="00B71049" w:rsidRPr="00EB6F1E" w:rsidRDefault="00B71049" w:rsidP="00EB6F1E">
      <w:pPr>
        <w:pStyle w:val="Heading2"/>
        <w:jc w:val="both"/>
        <w:rPr>
          <w:rFonts w:ascii="Arial" w:hAnsi="Arial" w:cs="Arial"/>
          <w:b/>
          <w:bCs/>
          <w:color w:val="auto"/>
          <w:sz w:val="22"/>
          <w:szCs w:val="22"/>
        </w:rPr>
      </w:pPr>
      <w:r w:rsidRPr="002C04F8">
        <w:rPr>
          <w:rFonts w:ascii="Arial" w:hAnsi="Arial" w:cs="Arial"/>
          <w:b/>
          <w:bCs/>
          <w:color w:val="auto"/>
          <w:sz w:val="22"/>
          <w:szCs w:val="22"/>
        </w:rPr>
        <w:t>7.  Monitoring</w:t>
      </w:r>
    </w:p>
    <w:p w14:paraId="102E13DB" w14:textId="77777777" w:rsidR="00B71049" w:rsidRDefault="00B71049" w:rsidP="00B71049">
      <w:pPr>
        <w:autoSpaceDE w:val="0"/>
        <w:autoSpaceDN w:val="0"/>
        <w:adjustRightInd w:val="0"/>
        <w:jc w:val="both"/>
        <w:rPr>
          <w:rFonts w:ascii="Arial" w:hAnsi="Arial" w:cs="Arial"/>
        </w:rPr>
      </w:pPr>
      <w:r>
        <w:rPr>
          <w:rFonts w:ascii="Arial" w:hAnsi="Arial" w:cs="Arial"/>
        </w:rPr>
        <w:t xml:space="preserve">The main caution for use of </w:t>
      </w:r>
      <w:proofErr w:type="spellStart"/>
      <w:r>
        <w:rPr>
          <w:rFonts w:ascii="Arial" w:hAnsi="Arial" w:cs="Arial"/>
        </w:rPr>
        <w:t>riluzole</w:t>
      </w:r>
      <w:proofErr w:type="spellEnd"/>
      <w:r>
        <w:rPr>
          <w:rFonts w:ascii="Arial" w:hAnsi="Arial" w:cs="Arial"/>
        </w:rPr>
        <w:t xml:space="preserve"> is history of abnormal hepatic function. The specialist will be responsible for monitoring the progress of the disease and the safe use of </w:t>
      </w:r>
      <w:proofErr w:type="spellStart"/>
      <w:r>
        <w:rPr>
          <w:rFonts w:ascii="Arial" w:hAnsi="Arial" w:cs="Arial"/>
        </w:rPr>
        <w:t>riluzole</w:t>
      </w:r>
      <w:proofErr w:type="spellEnd"/>
      <w:r>
        <w:rPr>
          <w:rFonts w:ascii="Arial" w:hAnsi="Arial" w:cs="Arial"/>
        </w:rPr>
        <w:t xml:space="preserve">. The needs of people with MND demand flexibility and this monitoring role can be taken up by the general practitioner or by other physicians involved in providing shared care.  </w:t>
      </w:r>
    </w:p>
    <w:p w14:paraId="52BC80CA" w14:textId="77777777" w:rsidR="00B71049" w:rsidRDefault="00B71049" w:rsidP="00B71049">
      <w:pPr>
        <w:autoSpaceDE w:val="0"/>
        <w:autoSpaceDN w:val="0"/>
        <w:adjustRightInd w:val="0"/>
        <w:jc w:val="both"/>
        <w:rPr>
          <w:rFonts w:ascii="Arial" w:hAnsi="Arial" w:cs="Arial"/>
        </w:rPr>
      </w:pPr>
      <w:r>
        <w:rPr>
          <w:rFonts w:ascii="Arial" w:hAnsi="Arial" w:cs="Arial"/>
        </w:rPr>
        <w:lastRenderedPageBreak/>
        <w:t xml:space="preserve">If results are abnormal contact the specialist for advice on treatment. </w:t>
      </w:r>
    </w:p>
    <w:p w14:paraId="05492A43" w14:textId="77777777" w:rsidR="00B71049" w:rsidRDefault="00B71049" w:rsidP="00B71049">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630"/>
      </w:tblGrid>
      <w:tr w:rsidR="00B71049" w:rsidRPr="00195BA5" w14:paraId="497A1803" w14:textId="77777777" w:rsidTr="00EE5877">
        <w:tc>
          <w:tcPr>
            <w:tcW w:w="976" w:type="dxa"/>
            <w:shd w:val="clear" w:color="auto" w:fill="auto"/>
          </w:tcPr>
          <w:p w14:paraId="62E705EC" w14:textId="77777777" w:rsidR="00B71049" w:rsidRPr="00195BA5" w:rsidRDefault="00B71049" w:rsidP="00EE5877">
            <w:pPr>
              <w:autoSpaceDE w:val="0"/>
              <w:autoSpaceDN w:val="0"/>
              <w:adjustRightInd w:val="0"/>
              <w:rPr>
                <w:rFonts w:ascii="Arial" w:hAnsi="Arial" w:cs="Arial"/>
                <w:lang w:eastAsia="en-GB"/>
              </w:rPr>
            </w:pPr>
            <w:r w:rsidRPr="00195BA5">
              <w:rPr>
                <w:rFonts w:ascii="Arial" w:hAnsi="Arial" w:cs="Arial"/>
                <w:lang w:eastAsia="en-GB"/>
              </w:rPr>
              <w:t>LFTs</w:t>
            </w:r>
          </w:p>
        </w:tc>
        <w:tc>
          <w:tcPr>
            <w:tcW w:w="8630" w:type="dxa"/>
            <w:shd w:val="clear" w:color="auto" w:fill="auto"/>
          </w:tcPr>
          <w:p w14:paraId="53DB0C0F" w14:textId="77777777" w:rsidR="00B71049" w:rsidRPr="00195BA5" w:rsidRDefault="00B71049" w:rsidP="00EE5877">
            <w:pPr>
              <w:autoSpaceDE w:val="0"/>
              <w:autoSpaceDN w:val="0"/>
              <w:adjustRightInd w:val="0"/>
              <w:rPr>
                <w:rFonts w:ascii="Arial" w:hAnsi="Arial" w:cs="Arial"/>
                <w:lang w:eastAsia="en-GB"/>
              </w:rPr>
            </w:pPr>
            <w:r w:rsidRPr="00195BA5">
              <w:rPr>
                <w:rFonts w:ascii="Arial" w:hAnsi="Arial" w:cs="Arial"/>
                <w:lang w:eastAsia="en-GB"/>
              </w:rPr>
              <w:t>Baseline before starting treatment.</w:t>
            </w:r>
          </w:p>
          <w:p w14:paraId="156A6B07" w14:textId="77777777" w:rsidR="00B71049" w:rsidRDefault="00B71049" w:rsidP="00EE5877">
            <w:pPr>
              <w:autoSpaceDE w:val="0"/>
              <w:autoSpaceDN w:val="0"/>
              <w:adjustRightInd w:val="0"/>
              <w:rPr>
                <w:rFonts w:ascii="Arial" w:hAnsi="Arial" w:cs="Arial"/>
                <w:lang w:eastAsia="en-GB"/>
              </w:rPr>
            </w:pPr>
            <w:r w:rsidRPr="00195BA5">
              <w:rPr>
                <w:rFonts w:ascii="Arial" w:hAnsi="Arial" w:cs="Arial"/>
                <w:lang w:eastAsia="en-GB"/>
              </w:rPr>
              <w:t>Monthly for 3 months</w:t>
            </w:r>
            <w:r>
              <w:rPr>
                <w:rFonts w:ascii="Arial" w:hAnsi="Arial" w:cs="Arial"/>
                <w:lang w:eastAsia="en-GB"/>
              </w:rPr>
              <w:t>, then 3 monthly for 9 months then annually thereafter</w:t>
            </w:r>
          </w:p>
          <w:p w14:paraId="2E989B46" w14:textId="77777777" w:rsidR="00B71049" w:rsidRDefault="00B71049" w:rsidP="00EE5877">
            <w:pPr>
              <w:autoSpaceDE w:val="0"/>
              <w:autoSpaceDN w:val="0"/>
              <w:adjustRightInd w:val="0"/>
              <w:rPr>
                <w:rFonts w:ascii="Arial" w:hAnsi="Arial" w:cs="Arial"/>
                <w:lang w:eastAsia="en-GB"/>
              </w:rPr>
            </w:pPr>
          </w:p>
          <w:p w14:paraId="2F899AF5" w14:textId="77777777" w:rsidR="00B71049" w:rsidRDefault="00B71049" w:rsidP="00EE5877">
            <w:pPr>
              <w:autoSpaceDE w:val="0"/>
              <w:autoSpaceDN w:val="0"/>
              <w:adjustRightInd w:val="0"/>
              <w:rPr>
                <w:rFonts w:ascii="Arial" w:hAnsi="Arial" w:cs="Arial"/>
                <w:lang w:eastAsia="en-GB"/>
              </w:rPr>
            </w:pPr>
            <w:r w:rsidRPr="00195BA5">
              <w:rPr>
                <w:rFonts w:ascii="Arial" w:hAnsi="Arial" w:cs="Arial"/>
                <w:lang w:eastAsia="en-GB"/>
              </w:rPr>
              <w:t xml:space="preserve">The specialist will monitor </w:t>
            </w:r>
            <w:r>
              <w:rPr>
                <w:rFonts w:ascii="Arial" w:hAnsi="Arial" w:cs="Arial"/>
                <w:lang w:eastAsia="en-GB"/>
              </w:rPr>
              <w:t xml:space="preserve">baseline </w:t>
            </w:r>
            <w:r w:rsidRPr="00195BA5">
              <w:rPr>
                <w:rFonts w:ascii="Arial" w:hAnsi="Arial" w:cs="Arial"/>
                <w:lang w:eastAsia="en-GB"/>
              </w:rPr>
              <w:t>LFTS</w:t>
            </w:r>
            <w:r>
              <w:rPr>
                <w:rFonts w:ascii="Arial" w:hAnsi="Arial" w:cs="Arial"/>
                <w:lang w:eastAsia="en-GB"/>
              </w:rPr>
              <w:t xml:space="preserve">. </w:t>
            </w:r>
          </w:p>
          <w:p w14:paraId="4D0A6A44" w14:textId="77777777" w:rsidR="00B71049" w:rsidRDefault="00B71049" w:rsidP="00EE5877">
            <w:pPr>
              <w:autoSpaceDE w:val="0"/>
              <w:autoSpaceDN w:val="0"/>
              <w:adjustRightInd w:val="0"/>
              <w:rPr>
                <w:rFonts w:ascii="Arial" w:hAnsi="Arial" w:cs="Arial"/>
                <w:lang w:eastAsia="en-GB"/>
              </w:rPr>
            </w:pPr>
            <w:r>
              <w:rPr>
                <w:rFonts w:ascii="Arial" w:hAnsi="Arial" w:cs="Arial"/>
                <w:lang w:eastAsia="en-GB"/>
              </w:rPr>
              <w:t xml:space="preserve">GP to monitor monthly for first 3 months then every 3 months for further 9 months then annually thereafter </w:t>
            </w:r>
            <w:r w:rsidRPr="00195BA5">
              <w:rPr>
                <w:rFonts w:ascii="Arial" w:hAnsi="Arial" w:cs="Arial"/>
                <w:lang w:eastAsia="en-GB"/>
              </w:rPr>
              <w:t>(unless abnormal blood results then increase frequency)</w:t>
            </w:r>
          </w:p>
          <w:p w14:paraId="239B9490" w14:textId="77777777" w:rsidR="00B71049" w:rsidRPr="00195BA5" w:rsidRDefault="00B71049" w:rsidP="00EE5877">
            <w:pPr>
              <w:autoSpaceDE w:val="0"/>
              <w:autoSpaceDN w:val="0"/>
              <w:adjustRightInd w:val="0"/>
              <w:rPr>
                <w:rFonts w:ascii="Arial" w:hAnsi="Arial" w:cs="Arial"/>
                <w:lang w:eastAsia="en-GB"/>
              </w:rPr>
            </w:pPr>
          </w:p>
          <w:p w14:paraId="229F1455" w14:textId="77777777" w:rsidR="00B71049" w:rsidRPr="00195BA5" w:rsidRDefault="00B71049" w:rsidP="00EE5877">
            <w:pPr>
              <w:autoSpaceDE w:val="0"/>
              <w:autoSpaceDN w:val="0"/>
              <w:adjustRightInd w:val="0"/>
              <w:rPr>
                <w:rFonts w:ascii="Arial" w:hAnsi="Arial" w:cs="Arial"/>
                <w:lang w:eastAsia="en-GB"/>
              </w:rPr>
            </w:pPr>
            <w:proofErr w:type="spellStart"/>
            <w:r w:rsidRPr="00195BA5">
              <w:rPr>
                <w:rFonts w:ascii="Arial" w:hAnsi="Arial" w:cs="Arial"/>
                <w:lang w:eastAsia="en-GB"/>
              </w:rPr>
              <w:t>Riluzole</w:t>
            </w:r>
            <w:proofErr w:type="spellEnd"/>
            <w:r w:rsidRPr="00195BA5">
              <w:rPr>
                <w:rFonts w:ascii="Arial" w:hAnsi="Arial" w:cs="Arial"/>
                <w:lang w:eastAsia="en-GB"/>
              </w:rPr>
              <w:t xml:space="preserve"> should be discontinued if the ALT levels increase to 5 times the ULN.</w:t>
            </w:r>
          </w:p>
          <w:p w14:paraId="4BDBC750" w14:textId="77777777" w:rsidR="00B71049" w:rsidRPr="00195BA5" w:rsidRDefault="00B71049" w:rsidP="00EE5877">
            <w:pPr>
              <w:rPr>
                <w:rFonts w:ascii="Arial" w:hAnsi="Arial" w:cs="Arial"/>
                <w:lang w:eastAsia="en-GB"/>
              </w:rPr>
            </w:pPr>
            <w:proofErr w:type="spellStart"/>
            <w:r w:rsidRPr="00195BA5">
              <w:rPr>
                <w:rFonts w:ascii="Arial" w:hAnsi="Arial" w:cs="Arial"/>
                <w:lang w:eastAsia="en-GB"/>
              </w:rPr>
              <w:t>Readministration</w:t>
            </w:r>
            <w:proofErr w:type="spellEnd"/>
            <w:r w:rsidRPr="00195BA5">
              <w:rPr>
                <w:rFonts w:ascii="Arial" w:hAnsi="Arial" w:cs="Arial"/>
                <w:lang w:eastAsia="en-GB"/>
              </w:rPr>
              <w:t xml:space="preserve"> of </w:t>
            </w:r>
            <w:proofErr w:type="spellStart"/>
            <w:r w:rsidRPr="00195BA5">
              <w:rPr>
                <w:rFonts w:ascii="Arial" w:hAnsi="Arial" w:cs="Arial"/>
                <w:lang w:eastAsia="en-GB"/>
              </w:rPr>
              <w:t>riluzole</w:t>
            </w:r>
            <w:proofErr w:type="spellEnd"/>
            <w:r w:rsidRPr="00195BA5">
              <w:rPr>
                <w:rFonts w:ascii="Arial" w:hAnsi="Arial" w:cs="Arial"/>
                <w:lang w:eastAsia="en-GB"/>
              </w:rPr>
              <w:t xml:space="preserve"> to patients in this situation cannot be recommended.</w:t>
            </w:r>
          </w:p>
        </w:tc>
      </w:tr>
      <w:tr w:rsidR="00B71049" w:rsidRPr="00195BA5" w14:paraId="16119FFA" w14:textId="77777777" w:rsidTr="00EE5877">
        <w:tc>
          <w:tcPr>
            <w:tcW w:w="976" w:type="dxa"/>
            <w:shd w:val="clear" w:color="auto" w:fill="auto"/>
          </w:tcPr>
          <w:p w14:paraId="6BF7FDA9" w14:textId="77777777" w:rsidR="00B71049" w:rsidRPr="00195BA5" w:rsidRDefault="00B71049" w:rsidP="00EE5877">
            <w:pPr>
              <w:autoSpaceDE w:val="0"/>
              <w:autoSpaceDN w:val="0"/>
              <w:adjustRightInd w:val="0"/>
              <w:rPr>
                <w:rFonts w:ascii="Arial" w:hAnsi="Arial" w:cs="Arial"/>
                <w:lang w:eastAsia="en-GB"/>
              </w:rPr>
            </w:pPr>
            <w:r w:rsidRPr="00195BA5">
              <w:rPr>
                <w:rFonts w:ascii="Arial" w:hAnsi="Arial" w:cs="Arial"/>
                <w:lang w:eastAsia="en-GB"/>
              </w:rPr>
              <w:t>FBC</w:t>
            </w:r>
          </w:p>
        </w:tc>
        <w:tc>
          <w:tcPr>
            <w:tcW w:w="8630" w:type="dxa"/>
            <w:shd w:val="clear" w:color="auto" w:fill="auto"/>
          </w:tcPr>
          <w:p w14:paraId="23CB1CAE" w14:textId="77777777" w:rsidR="00B71049" w:rsidRPr="00195BA5" w:rsidRDefault="00B71049" w:rsidP="00EE5877">
            <w:pPr>
              <w:autoSpaceDE w:val="0"/>
              <w:autoSpaceDN w:val="0"/>
              <w:adjustRightInd w:val="0"/>
              <w:rPr>
                <w:rFonts w:ascii="Arial" w:hAnsi="Arial" w:cs="Arial"/>
                <w:lang w:eastAsia="en-GB"/>
              </w:rPr>
            </w:pPr>
            <w:r w:rsidRPr="00195BA5">
              <w:rPr>
                <w:rFonts w:ascii="Arial" w:hAnsi="Arial" w:cs="Arial"/>
                <w:lang w:eastAsia="en-GB"/>
              </w:rPr>
              <w:t>Baseline before starting treatment.</w:t>
            </w:r>
          </w:p>
          <w:p w14:paraId="4218026C" w14:textId="77777777" w:rsidR="00B71049" w:rsidRDefault="00B71049" w:rsidP="00EE5877">
            <w:pPr>
              <w:autoSpaceDE w:val="0"/>
              <w:autoSpaceDN w:val="0"/>
              <w:adjustRightInd w:val="0"/>
              <w:rPr>
                <w:rFonts w:ascii="Arial" w:hAnsi="Arial" w:cs="Arial"/>
                <w:lang w:eastAsia="en-GB"/>
              </w:rPr>
            </w:pPr>
            <w:r w:rsidRPr="00195BA5">
              <w:rPr>
                <w:rFonts w:ascii="Arial" w:hAnsi="Arial" w:cs="Arial"/>
                <w:lang w:eastAsia="en-GB"/>
              </w:rPr>
              <w:t>Monthly for 3 months</w:t>
            </w:r>
            <w:r>
              <w:rPr>
                <w:rFonts w:ascii="Arial" w:hAnsi="Arial" w:cs="Arial"/>
                <w:lang w:eastAsia="en-GB"/>
              </w:rPr>
              <w:t>, then 3 monthly for 9 months then annually thereafter</w:t>
            </w:r>
          </w:p>
          <w:p w14:paraId="2E21C074" w14:textId="77777777" w:rsidR="00B71049" w:rsidRPr="00195BA5" w:rsidRDefault="00B71049" w:rsidP="00EE5877">
            <w:pPr>
              <w:autoSpaceDE w:val="0"/>
              <w:autoSpaceDN w:val="0"/>
              <w:adjustRightInd w:val="0"/>
              <w:rPr>
                <w:rFonts w:ascii="Arial" w:hAnsi="Arial" w:cs="Arial"/>
                <w:lang w:eastAsia="en-GB"/>
              </w:rPr>
            </w:pPr>
          </w:p>
          <w:p w14:paraId="5FE0E619" w14:textId="77777777" w:rsidR="00B71049" w:rsidRDefault="00B71049" w:rsidP="00EE5877">
            <w:pPr>
              <w:autoSpaceDE w:val="0"/>
              <w:autoSpaceDN w:val="0"/>
              <w:adjustRightInd w:val="0"/>
              <w:rPr>
                <w:rFonts w:ascii="Arial" w:hAnsi="Arial" w:cs="Arial"/>
                <w:lang w:eastAsia="en-GB"/>
              </w:rPr>
            </w:pPr>
            <w:r w:rsidRPr="00195BA5">
              <w:rPr>
                <w:rFonts w:ascii="Arial" w:hAnsi="Arial" w:cs="Arial"/>
                <w:lang w:eastAsia="en-GB"/>
              </w:rPr>
              <w:t xml:space="preserve">The specialist will monitor </w:t>
            </w:r>
            <w:r>
              <w:rPr>
                <w:rFonts w:ascii="Arial" w:hAnsi="Arial" w:cs="Arial"/>
                <w:lang w:eastAsia="en-GB"/>
              </w:rPr>
              <w:t xml:space="preserve">baseline FBC. </w:t>
            </w:r>
          </w:p>
          <w:p w14:paraId="51E8439E" w14:textId="77777777" w:rsidR="00B71049" w:rsidRDefault="00B71049" w:rsidP="00EE5877">
            <w:pPr>
              <w:autoSpaceDE w:val="0"/>
              <w:autoSpaceDN w:val="0"/>
              <w:adjustRightInd w:val="0"/>
              <w:rPr>
                <w:rFonts w:ascii="Arial" w:hAnsi="Arial" w:cs="Arial"/>
                <w:lang w:eastAsia="en-GB"/>
              </w:rPr>
            </w:pPr>
            <w:r>
              <w:rPr>
                <w:rFonts w:ascii="Arial" w:hAnsi="Arial" w:cs="Arial"/>
                <w:lang w:eastAsia="en-GB"/>
              </w:rPr>
              <w:t xml:space="preserve">GP to monitor monthly for first 3 months then every 3 months for further 9 months then annually thereafter </w:t>
            </w:r>
            <w:r w:rsidRPr="00195BA5">
              <w:rPr>
                <w:rFonts w:ascii="Arial" w:hAnsi="Arial" w:cs="Arial"/>
                <w:lang w:eastAsia="en-GB"/>
              </w:rPr>
              <w:t>(unless abnormal blood results then increase frequency)</w:t>
            </w:r>
          </w:p>
          <w:p w14:paraId="5676EBE0" w14:textId="77777777" w:rsidR="00B71049" w:rsidRPr="00195BA5" w:rsidRDefault="00B71049" w:rsidP="00EE5877">
            <w:pPr>
              <w:autoSpaceDE w:val="0"/>
              <w:autoSpaceDN w:val="0"/>
              <w:adjustRightInd w:val="0"/>
              <w:rPr>
                <w:rFonts w:ascii="Arial" w:hAnsi="Arial" w:cs="Arial"/>
                <w:lang w:eastAsia="en-GB"/>
              </w:rPr>
            </w:pPr>
          </w:p>
          <w:p w14:paraId="2B43C44C" w14:textId="77777777" w:rsidR="00B71049" w:rsidRPr="00195BA5" w:rsidRDefault="00B71049" w:rsidP="00EE5877">
            <w:pPr>
              <w:autoSpaceDE w:val="0"/>
              <w:autoSpaceDN w:val="0"/>
              <w:adjustRightInd w:val="0"/>
              <w:rPr>
                <w:rFonts w:ascii="Arial" w:hAnsi="Arial" w:cs="Arial"/>
                <w:lang w:eastAsia="en-GB"/>
              </w:rPr>
            </w:pPr>
            <w:r w:rsidRPr="00195BA5">
              <w:rPr>
                <w:rFonts w:ascii="Arial" w:hAnsi="Arial" w:cs="Arial"/>
                <w:lang w:eastAsia="en-GB"/>
              </w:rPr>
              <w:t>Patients should be made aware they need to report any febrile illness.</w:t>
            </w:r>
          </w:p>
          <w:p w14:paraId="61CE5BDE" w14:textId="77777777" w:rsidR="00B71049" w:rsidRPr="00195BA5" w:rsidRDefault="00B71049" w:rsidP="00EE5877">
            <w:pPr>
              <w:autoSpaceDE w:val="0"/>
              <w:autoSpaceDN w:val="0"/>
              <w:adjustRightInd w:val="0"/>
              <w:rPr>
                <w:rFonts w:ascii="Arial" w:hAnsi="Arial" w:cs="Arial"/>
                <w:lang w:eastAsia="en-GB"/>
              </w:rPr>
            </w:pPr>
            <w:r w:rsidRPr="00195BA5">
              <w:rPr>
                <w:rFonts w:ascii="Arial" w:hAnsi="Arial" w:cs="Arial"/>
                <w:lang w:eastAsia="en-GB"/>
              </w:rPr>
              <w:t xml:space="preserve">Discontinue </w:t>
            </w:r>
            <w:proofErr w:type="spellStart"/>
            <w:r w:rsidRPr="00195BA5">
              <w:rPr>
                <w:rFonts w:ascii="Arial" w:hAnsi="Arial" w:cs="Arial"/>
                <w:lang w:eastAsia="en-GB"/>
              </w:rPr>
              <w:t>riluzole</w:t>
            </w:r>
            <w:proofErr w:type="spellEnd"/>
            <w:r>
              <w:rPr>
                <w:rFonts w:ascii="Arial" w:hAnsi="Arial" w:cs="Arial"/>
                <w:lang w:eastAsia="en-GB"/>
              </w:rPr>
              <w:t xml:space="preserve"> and contact specialist team</w:t>
            </w:r>
            <w:r w:rsidRPr="00195BA5">
              <w:rPr>
                <w:rFonts w:ascii="Arial" w:hAnsi="Arial" w:cs="Arial"/>
                <w:lang w:eastAsia="en-GB"/>
              </w:rPr>
              <w:t xml:space="preserve"> in case of neutropenia</w:t>
            </w:r>
            <w:r>
              <w:rPr>
                <w:rFonts w:ascii="Arial"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077"/>
            </w:tblGrid>
            <w:tr w:rsidR="00B71049" w:rsidRPr="00195BA5" w14:paraId="37C61073" w14:textId="77777777" w:rsidTr="00EE5877">
              <w:tc>
                <w:tcPr>
                  <w:tcW w:w="3076" w:type="dxa"/>
                  <w:shd w:val="clear" w:color="auto" w:fill="auto"/>
                </w:tcPr>
                <w:p w14:paraId="44A73FB2" w14:textId="77777777" w:rsidR="00B71049" w:rsidRPr="00195BA5" w:rsidRDefault="00B71049" w:rsidP="00EE5877">
                  <w:pPr>
                    <w:autoSpaceDE w:val="0"/>
                    <w:autoSpaceDN w:val="0"/>
                    <w:adjustRightInd w:val="0"/>
                    <w:rPr>
                      <w:rFonts w:ascii="Arial" w:hAnsi="Arial" w:cs="Arial"/>
                      <w:bCs/>
                      <w:lang w:eastAsia="en-GB"/>
                    </w:rPr>
                  </w:pPr>
                  <w:r w:rsidRPr="00195BA5">
                    <w:rPr>
                      <w:rFonts w:ascii="Arial" w:hAnsi="Arial" w:cs="Arial"/>
                      <w:bCs/>
                      <w:lang w:eastAsia="en-GB"/>
                    </w:rPr>
                    <w:t>WCC</w:t>
                  </w:r>
                </w:p>
              </w:tc>
              <w:tc>
                <w:tcPr>
                  <w:tcW w:w="3077" w:type="dxa"/>
                  <w:shd w:val="clear" w:color="auto" w:fill="auto"/>
                </w:tcPr>
                <w:p w14:paraId="5F4366A7" w14:textId="77777777" w:rsidR="00B71049" w:rsidRPr="00195BA5" w:rsidRDefault="00B71049" w:rsidP="00EE5877">
                  <w:pPr>
                    <w:autoSpaceDE w:val="0"/>
                    <w:autoSpaceDN w:val="0"/>
                    <w:adjustRightInd w:val="0"/>
                    <w:rPr>
                      <w:rFonts w:ascii="Arial" w:hAnsi="Arial" w:cs="Arial"/>
                      <w:bCs/>
                      <w:lang w:eastAsia="en-GB"/>
                    </w:rPr>
                  </w:pPr>
                  <w:r w:rsidRPr="00195BA5">
                    <w:rPr>
                      <w:rFonts w:ascii="Arial" w:hAnsi="Arial" w:cs="Arial"/>
                      <w:bCs/>
                      <w:lang w:eastAsia="en-GB"/>
                    </w:rPr>
                    <w:t>&lt;3.5</w:t>
                  </w:r>
                </w:p>
              </w:tc>
            </w:tr>
            <w:tr w:rsidR="00B71049" w:rsidRPr="00195BA5" w14:paraId="12905FFF" w14:textId="77777777" w:rsidTr="00EE5877">
              <w:tc>
                <w:tcPr>
                  <w:tcW w:w="3076" w:type="dxa"/>
                  <w:shd w:val="clear" w:color="auto" w:fill="auto"/>
                </w:tcPr>
                <w:p w14:paraId="4471E850" w14:textId="77777777" w:rsidR="00B71049" w:rsidRPr="00195BA5" w:rsidRDefault="00B71049" w:rsidP="00EE5877">
                  <w:pPr>
                    <w:autoSpaceDE w:val="0"/>
                    <w:autoSpaceDN w:val="0"/>
                    <w:adjustRightInd w:val="0"/>
                    <w:rPr>
                      <w:rFonts w:ascii="Arial" w:hAnsi="Arial" w:cs="Arial"/>
                      <w:bCs/>
                      <w:lang w:eastAsia="en-GB"/>
                    </w:rPr>
                  </w:pPr>
                  <w:r w:rsidRPr="00195BA5">
                    <w:rPr>
                      <w:rFonts w:ascii="Arial" w:hAnsi="Arial" w:cs="Arial"/>
                      <w:bCs/>
                      <w:lang w:eastAsia="en-GB"/>
                    </w:rPr>
                    <w:t>Neutrophils</w:t>
                  </w:r>
                </w:p>
              </w:tc>
              <w:tc>
                <w:tcPr>
                  <w:tcW w:w="3077" w:type="dxa"/>
                  <w:shd w:val="clear" w:color="auto" w:fill="auto"/>
                </w:tcPr>
                <w:p w14:paraId="60EA2B6A" w14:textId="77777777" w:rsidR="00B71049" w:rsidRPr="00195BA5" w:rsidRDefault="00B71049" w:rsidP="00EE5877">
                  <w:pPr>
                    <w:autoSpaceDE w:val="0"/>
                    <w:autoSpaceDN w:val="0"/>
                    <w:adjustRightInd w:val="0"/>
                    <w:rPr>
                      <w:rFonts w:ascii="Arial" w:hAnsi="Arial" w:cs="Arial"/>
                      <w:bCs/>
                      <w:lang w:eastAsia="en-GB"/>
                    </w:rPr>
                  </w:pPr>
                  <w:r w:rsidRPr="00195BA5">
                    <w:rPr>
                      <w:rFonts w:ascii="Arial" w:hAnsi="Arial" w:cs="Arial"/>
                      <w:bCs/>
                      <w:lang w:eastAsia="en-GB"/>
                    </w:rPr>
                    <w:t>&lt;2.0</w:t>
                  </w:r>
                </w:p>
              </w:tc>
            </w:tr>
          </w:tbl>
          <w:p w14:paraId="47BF6EFC" w14:textId="77777777" w:rsidR="00B71049" w:rsidRPr="00195BA5" w:rsidRDefault="00B71049" w:rsidP="00EE5877">
            <w:pPr>
              <w:autoSpaceDE w:val="0"/>
              <w:autoSpaceDN w:val="0"/>
              <w:adjustRightInd w:val="0"/>
              <w:rPr>
                <w:rFonts w:ascii="Arial" w:hAnsi="Arial" w:cs="Arial"/>
                <w:lang w:eastAsia="en-GB"/>
              </w:rPr>
            </w:pPr>
          </w:p>
        </w:tc>
      </w:tr>
      <w:tr w:rsidR="00B71049" w:rsidRPr="00195BA5" w14:paraId="7667CD83" w14:textId="77777777" w:rsidTr="00EE5877">
        <w:tc>
          <w:tcPr>
            <w:tcW w:w="976" w:type="dxa"/>
            <w:shd w:val="clear" w:color="auto" w:fill="auto"/>
          </w:tcPr>
          <w:p w14:paraId="3D32F8E9" w14:textId="77777777" w:rsidR="00B71049" w:rsidRPr="00195BA5" w:rsidRDefault="00B71049" w:rsidP="00EE5877">
            <w:pPr>
              <w:autoSpaceDE w:val="0"/>
              <w:autoSpaceDN w:val="0"/>
              <w:adjustRightInd w:val="0"/>
              <w:rPr>
                <w:rFonts w:ascii="Arial" w:hAnsi="Arial" w:cs="Arial"/>
                <w:lang w:eastAsia="en-GB"/>
              </w:rPr>
            </w:pPr>
            <w:r w:rsidRPr="00195BA5">
              <w:rPr>
                <w:rFonts w:ascii="Arial" w:hAnsi="Arial" w:cs="Arial"/>
                <w:lang w:eastAsia="en-GB"/>
              </w:rPr>
              <w:t>U+Es</w:t>
            </w:r>
          </w:p>
        </w:tc>
        <w:tc>
          <w:tcPr>
            <w:tcW w:w="8630" w:type="dxa"/>
            <w:shd w:val="clear" w:color="auto" w:fill="auto"/>
          </w:tcPr>
          <w:p w14:paraId="6783DA3C" w14:textId="77777777" w:rsidR="00B71049" w:rsidRDefault="00B71049" w:rsidP="00EE5877">
            <w:pPr>
              <w:autoSpaceDE w:val="0"/>
              <w:autoSpaceDN w:val="0"/>
              <w:adjustRightInd w:val="0"/>
              <w:rPr>
                <w:rFonts w:ascii="Arial" w:hAnsi="Arial" w:cs="Arial"/>
                <w:lang w:eastAsia="en-GB"/>
              </w:rPr>
            </w:pPr>
            <w:r w:rsidRPr="00195BA5">
              <w:rPr>
                <w:rFonts w:ascii="Arial" w:hAnsi="Arial" w:cs="Arial"/>
                <w:lang w:eastAsia="en-GB"/>
              </w:rPr>
              <w:t>Bas</w:t>
            </w:r>
            <w:r>
              <w:rPr>
                <w:rFonts w:ascii="Arial" w:hAnsi="Arial" w:cs="Arial"/>
                <w:lang w:eastAsia="en-GB"/>
              </w:rPr>
              <w:t>eline before starting treatment by specialist</w:t>
            </w:r>
          </w:p>
          <w:p w14:paraId="48581699" w14:textId="77777777" w:rsidR="00B71049" w:rsidRPr="00195BA5" w:rsidRDefault="00B71049" w:rsidP="00EE5877">
            <w:pPr>
              <w:autoSpaceDE w:val="0"/>
              <w:autoSpaceDN w:val="0"/>
              <w:adjustRightInd w:val="0"/>
              <w:rPr>
                <w:rFonts w:ascii="Arial" w:hAnsi="Arial" w:cs="Arial"/>
                <w:lang w:eastAsia="en-GB"/>
              </w:rPr>
            </w:pPr>
          </w:p>
        </w:tc>
      </w:tr>
    </w:tbl>
    <w:p w14:paraId="074403F1" w14:textId="77777777" w:rsidR="00B71049" w:rsidRDefault="00B71049" w:rsidP="00B71049">
      <w:pPr>
        <w:autoSpaceDE w:val="0"/>
        <w:autoSpaceDN w:val="0"/>
        <w:adjustRightInd w:val="0"/>
        <w:jc w:val="both"/>
        <w:rPr>
          <w:rFonts w:ascii="Arial" w:hAnsi="Arial" w:cs="Arial"/>
        </w:rPr>
      </w:pPr>
    </w:p>
    <w:p w14:paraId="5757F703" w14:textId="77777777" w:rsidR="00B71049" w:rsidRDefault="00B71049" w:rsidP="00B71049">
      <w:pPr>
        <w:autoSpaceDE w:val="0"/>
        <w:autoSpaceDN w:val="0"/>
        <w:adjustRightInd w:val="0"/>
        <w:jc w:val="both"/>
        <w:rPr>
          <w:rFonts w:ascii="Arial" w:hAnsi="Arial" w:cs="Arial"/>
        </w:rPr>
      </w:pPr>
    </w:p>
    <w:p w14:paraId="64AC0C59" w14:textId="77777777" w:rsidR="00B71049" w:rsidRDefault="00B71049" w:rsidP="00B71049">
      <w:pPr>
        <w:jc w:val="both"/>
        <w:rPr>
          <w:rFonts w:ascii="Arial" w:hAnsi="Arial" w:cs="Arial"/>
        </w:rPr>
      </w:pPr>
    </w:p>
    <w:p w14:paraId="37629F81" w14:textId="77777777" w:rsidR="00B71049" w:rsidRDefault="00B71049" w:rsidP="00B71049">
      <w:pPr>
        <w:jc w:val="both"/>
        <w:rPr>
          <w:rFonts w:ascii="Arial" w:hAnsi="Arial" w:cs="Arial"/>
          <w:b/>
          <w:bCs/>
        </w:rPr>
      </w:pPr>
      <w:r>
        <w:rPr>
          <w:rFonts w:ascii="Arial" w:hAnsi="Arial" w:cs="Arial"/>
          <w:b/>
          <w:bCs/>
        </w:rPr>
        <w:t>8. Information to patient</w:t>
      </w:r>
    </w:p>
    <w:p w14:paraId="5D8DE44A" w14:textId="77777777" w:rsidR="00B71049" w:rsidRDefault="00B71049" w:rsidP="00B71049">
      <w:pPr>
        <w:jc w:val="both"/>
        <w:rPr>
          <w:rFonts w:ascii="Arial" w:hAnsi="Arial" w:cs="Arial"/>
        </w:rPr>
      </w:pPr>
    </w:p>
    <w:p w14:paraId="277BCF37" w14:textId="77777777" w:rsidR="00B71049" w:rsidRDefault="00B71049" w:rsidP="00B71049">
      <w:pPr>
        <w:jc w:val="both"/>
        <w:rPr>
          <w:rFonts w:ascii="Arial" w:hAnsi="Arial" w:cs="Arial"/>
        </w:rPr>
      </w:pPr>
      <w:r>
        <w:rPr>
          <w:rFonts w:ascii="Arial" w:hAnsi="Arial" w:cs="Arial"/>
        </w:rPr>
        <w:t xml:space="preserve">Patients should be advised to report any febrile illness to their GP.  The report of febrile illness should prompt doctors to check white cell counts and check for neutropenia.  </w:t>
      </w:r>
    </w:p>
    <w:p w14:paraId="53C92CC6" w14:textId="77777777" w:rsidR="00B71049" w:rsidRDefault="00B71049" w:rsidP="00B71049">
      <w:pPr>
        <w:jc w:val="both"/>
        <w:rPr>
          <w:rFonts w:ascii="Arial" w:hAnsi="Arial" w:cs="Arial"/>
        </w:rPr>
      </w:pPr>
    </w:p>
    <w:p w14:paraId="67C77FD2" w14:textId="77777777" w:rsidR="00B71049" w:rsidRDefault="00B71049" w:rsidP="00B71049">
      <w:pPr>
        <w:numPr>
          <w:ilvl w:val="0"/>
          <w:numId w:val="8"/>
        </w:numPr>
        <w:spacing w:before="0" w:after="0"/>
        <w:jc w:val="both"/>
        <w:rPr>
          <w:rFonts w:ascii="Arial" w:hAnsi="Arial" w:cs="Arial"/>
          <w:b/>
          <w:bCs/>
        </w:rPr>
      </w:pPr>
      <w:r>
        <w:rPr>
          <w:rFonts w:ascii="Arial" w:hAnsi="Arial" w:cs="Arial"/>
          <w:b/>
          <w:bCs/>
        </w:rPr>
        <w:t>Responsibilities of clinicians involved</w:t>
      </w:r>
    </w:p>
    <w:p w14:paraId="6B7F7799" w14:textId="77777777" w:rsidR="00B71049" w:rsidRDefault="00B71049" w:rsidP="00B71049">
      <w:pPr>
        <w:jc w:val="both"/>
        <w:rPr>
          <w:rFonts w:ascii="Arial" w:hAnsi="Arial" w:cs="Arial"/>
          <w:b/>
          <w:bCs/>
        </w:rPr>
      </w:pPr>
    </w:p>
    <w:tbl>
      <w:tblPr>
        <w:tblW w:w="96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7"/>
        <w:gridCol w:w="3731"/>
        <w:gridCol w:w="3855"/>
      </w:tblGrid>
      <w:tr w:rsidR="00B71049" w14:paraId="412562B5" w14:textId="77777777" w:rsidTr="00B71049">
        <w:trPr>
          <w:trHeight w:val="503"/>
        </w:trPr>
        <w:tc>
          <w:tcPr>
            <w:tcW w:w="2067" w:type="dxa"/>
            <w:tcBorders>
              <w:top w:val="single" w:sz="4" w:space="0" w:color="auto"/>
              <w:left w:val="single" w:sz="4" w:space="0" w:color="auto"/>
              <w:bottom w:val="single" w:sz="4" w:space="0" w:color="auto"/>
              <w:right w:val="single" w:sz="4" w:space="0" w:color="auto"/>
            </w:tcBorders>
          </w:tcPr>
          <w:p w14:paraId="141C2065" w14:textId="77777777" w:rsidR="00B71049" w:rsidRDefault="00B71049" w:rsidP="00EE5877">
            <w:pPr>
              <w:jc w:val="both"/>
              <w:rPr>
                <w:rFonts w:ascii="Arial" w:hAnsi="Arial" w:cs="Arial"/>
                <w:b/>
                <w:bCs/>
              </w:rPr>
            </w:pPr>
            <w:r>
              <w:rPr>
                <w:rFonts w:ascii="Arial" w:hAnsi="Arial" w:cs="Arial"/>
                <w:b/>
                <w:bCs/>
              </w:rPr>
              <w:t>Stage of Treatment</w:t>
            </w:r>
          </w:p>
        </w:tc>
        <w:tc>
          <w:tcPr>
            <w:tcW w:w="3731" w:type="dxa"/>
            <w:tcBorders>
              <w:top w:val="single" w:sz="4" w:space="0" w:color="auto"/>
              <w:left w:val="single" w:sz="4" w:space="0" w:color="auto"/>
              <w:bottom w:val="single" w:sz="4" w:space="0" w:color="auto"/>
              <w:right w:val="single" w:sz="4" w:space="0" w:color="auto"/>
            </w:tcBorders>
          </w:tcPr>
          <w:p w14:paraId="16138741" w14:textId="77777777" w:rsidR="00B71049" w:rsidRDefault="00B71049" w:rsidP="00EE5877">
            <w:pPr>
              <w:jc w:val="both"/>
              <w:rPr>
                <w:rFonts w:ascii="Arial" w:hAnsi="Arial" w:cs="Arial"/>
                <w:b/>
                <w:bCs/>
              </w:rPr>
            </w:pPr>
            <w:r>
              <w:rPr>
                <w:rFonts w:ascii="Arial" w:hAnsi="Arial" w:cs="Arial"/>
                <w:b/>
                <w:bCs/>
              </w:rPr>
              <w:t>Hospital Specialist</w:t>
            </w:r>
          </w:p>
        </w:tc>
        <w:tc>
          <w:tcPr>
            <w:tcW w:w="3855" w:type="dxa"/>
            <w:tcBorders>
              <w:top w:val="single" w:sz="4" w:space="0" w:color="auto"/>
              <w:left w:val="single" w:sz="4" w:space="0" w:color="auto"/>
              <w:bottom w:val="single" w:sz="4" w:space="0" w:color="auto"/>
              <w:right w:val="single" w:sz="4" w:space="0" w:color="auto"/>
            </w:tcBorders>
          </w:tcPr>
          <w:p w14:paraId="063883CF" w14:textId="77777777" w:rsidR="00B71049" w:rsidRDefault="00B71049" w:rsidP="00EE5877">
            <w:pPr>
              <w:jc w:val="both"/>
              <w:rPr>
                <w:rFonts w:ascii="Arial" w:hAnsi="Arial" w:cs="Arial"/>
                <w:b/>
                <w:bCs/>
              </w:rPr>
            </w:pPr>
            <w:r>
              <w:rPr>
                <w:rFonts w:ascii="Arial" w:hAnsi="Arial" w:cs="Arial"/>
                <w:b/>
                <w:bCs/>
              </w:rPr>
              <w:t>General Practitioner</w:t>
            </w:r>
          </w:p>
        </w:tc>
      </w:tr>
      <w:tr w:rsidR="00B71049" w14:paraId="3AA3AC24" w14:textId="77777777" w:rsidTr="00B71049">
        <w:trPr>
          <w:trHeight w:val="2652"/>
        </w:trPr>
        <w:tc>
          <w:tcPr>
            <w:tcW w:w="2067" w:type="dxa"/>
            <w:tcBorders>
              <w:top w:val="single" w:sz="4" w:space="0" w:color="auto"/>
              <w:left w:val="single" w:sz="4" w:space="0" w:color="auto"/>
              <w:bottom w:val="single" w:sz="4" w:space="0" w:color="auto"/>
              <w:right w:val="single" w:sz="4" w:space="0" w:color="auto"/>
            </w:tcBorders>
          </w:tcPr>
          <w:p w14:paraId="524890AC" w14:textId="77777777" w:rsidR="00B71049" w:rsidRDefault="00B71049" w:rsidP="00EE5877">
            <w:pPr>
              <w:jc w:val="both"/>
              <w:rPr>
                <w:rFonts w:ascii="Arial" w:hAnsi="Arial" w:cs="Arial"/>
              </w:rPr>
            </w:pPr>
            <w:r>
              <w:rPr>
                <w:rFonts w:ascii="Arial" w:hAnsi="Arial" w:cs="Arial"/>
              </w:rPr>
              <w:lastRenderedPageBreak/>
              <w:t>Initiation</w:t>
            </w:r>
          </w:p>
        </w:tc>
        <w:tc>
          <w:tcPr>
            <w:tcW w:w="3731" w:type="dxa"/>
            <w:tcBorders>
              <w:top w:val="single" w:sz="4" w:space="0" w:color="auto"/>
              <w:left w:val="single" w:sz="4" w:space="0" w:color="auto"/>
              <w:bottom w:val="single" w:sz="4" w:space="0" w:color="auto"/>
              <w:right w:val="single" w:sz="4" w:space="0" w:color="auto"/>
            </w:tcBorders>
          </w:tcPr>
          <w:p w14:paraId="44E2E4EF" w14:textId="77777777" w:rsidR="00B71049" w:rsidRDefault="00B71049" w:rsidP="00EE5877">
            <w:pPr>
              <w:autoSpaceDE w:val="0"/>
              <w:autoSpaceDN w:val="0"/>
              <w:adjustRightInd w:val="0"/>
              <w:jc w:val="both"/>
              <w:rPr>
                <w:rFonts w:ascii="Arial" w:hAnsi="Arial" w:cs="Arial"/>
              </w:rPr>
            </w:pPr>
            <w:r>
              <w:rPr>
                <w:rFonts w:ascii="Arial" w:hAnsi="Arial" w:cs="Arial"/>
              </w:rPr>
              <w:t xml:space="preserve">Patients will have been diagnosed using the agreed criteria. </w:t>
            </w:r>
          </w:p>
          <w:p w14:paraId="4F75857B" w14:textId="77777777" w:rsidR="00B71049" w:rsidRDefault="00B71049" w:rsidP="00EE5877">
            <w:pPr>
              <w:autoSpaceDE w:val="0"/>
              <w:autoSpaceDN w:val="0"/>
              <w:adjustRightInd w:val="0"/>
              <w:jc w:val="both"/>
              <w:rPr>
                <w:rFonts w:ascii="Arial" w:hAnsi="Arial" w:cs="Arial"/>
              </w:rPr>
            </w:pPr>
            <w:r>
              <w:rPr>
                <w:rFonts w:ascii="Arial" w:hAnsi="Arial" w:cs="Arial"/>
              </w:rPr>
              <w:t xml:space="preserve">Patients will receive the first 1months of treatment before referral to their G.P for prescribing. </w:t>
            </w:r>
          </w:p>
          <w:p w14:paraId="6A8EA5A9" w14:textId="77777777" w:rsidR="00B71049" w:rsidRDefault="00B71049" w:rsidP="00EE5877">
            <w:pPr>
              <w:autoSpaceDE w:val="0"/>
              <w:autoSpaceDN w:val="0"/>
              <w:adjustRightInd w:val="0"/>
              <w:jc w:val="both"/>
              <w:rPr>
                <w:rFonts w:ascii="Arial" w:hAnsi="Arial" w:cs="Arial"/>
              </w:rPr>
            </w:pPr>
            <w:r>
              <w:rPr>
                <w:rFonts w:ascii="Arial" w:hAnsi="Arial" w:cs="Arial"/>
              </w:rPr>
              <w:t xml:space="preserve">Monitor baseline LFTs, </w:t>
            </w:r>
            <w:proofErr w:type="spellStart"/>
            <w:r>
              <w:rPr>
                <w:rFonts w:ascii="Arial" w:hAnsi="Arial" w:cs="Arial"/>
              </w:rPr>
              <w:t>FBCand</w:t>
            </w:r>
            <w:proofErr w:type="spellEnd"/>
            <w:r>
              <w:rPr>
                <w:rFonts w:ascii="Arial" w:hAnsi="Arial" w:cs="Arial"/>
              </w:rPr>
              <w:t xml:space="preserve"> U&amp;Es  </w:t>
            </w:r>
          </w:p>
          <w:p w14:paraId="7D762666" w14:textId="77777777" w:rsidR="00B71049" w:rsidRDefault="00B71049" w:rsidP="00EE5877">
            <w:pPr>
              <w:jc w:val="both"/>
              <w:rPr>
                <w:rFonts w:ascii="Arial" w:hAnsi="Arial" w:cs="Arial"/>
              </w:rPr>
            </w:pPr>
            <w:r>
              <w:rPr>
                <w:rFonts w:ascii="Arial" w:hAnsi="Arial" w:cs="Arial"/>
              </w:rPr>
              <w:t xml:space="preserve">The G.P. will receive a letter indicating details of the patient’s clinical history. </w:t>
            </w:r>
          </w:p>
        </w:tc>
        <w:tc>
          <w:tcPr>
            <w:tcW w:w="3855" w:type="dxa"/>
            <w:tcBorders>
              <w:top w:val="single" w:sz="4" w:space="0" w:color="auto"/>
              <w:left w:val="single" w:sz="4" w:space="0" w:color="auto"/>
              <w:bottom w:val="single" w:sz="4" w:space="0" w:color="auto"/>
              <w:right w:val="single" w:sz="4" w:space="0" w:color="auto"/>
            </w:tcBorders>
          </w:tcPr>
          <w:p w14:paraId="38AC075F" w14:textId="77777777" w:rsidR="00B71049" w:rsidRDefault="00B71049" w:rsidP="00EE5877">
            <w:pPr>
              <w:jc w:val="both"/>
              <w:rPr>
                <w:rFonts w:ascii="Arial" w:hAnsi="Arial" w:cs="Arial"/>
              </w:rPr>
            </w:pPr>
          </w:p>
        </w:tc>
      </w:tr>
      <w:tr w:rsidR="00B71049" w14:paraId="77F874B6" w14:textId="77777777" w:rsidTr="00B71049">
        <w:trPr>
          <w:trHeight w:val="2408"/>
        </w:trPr>
        <w:tc>
          <w:tcPr>
            <w:tcW w:w="2067" w:type="dxa"/>
            <w:tcBorders>
              <w:top w:val="single" w:sz="4" w:space="0" w:color="auto"/>
              <w:left w:val="single" w:sz="4" w:space="0" w:color="auto"/>
              <w:bottom w:val="single" w:sz="4" w:space="0" w:color="auto"/>
              <w:right w:val="single" w:sz="4" w:space="0" w:color="auto"/>
            </w:tcBorders>
          </w:tcPr>
          <w:p w14:paraId="340FB8BF" w14:textId="77777777" w:rsidR="00B71049" w:rsidRDefault="00B71049" w:rsidP="00EE5877">
            <w:pPr>
              <w:jc w:val="both"/>
              <w:rPr>
                <w:rFonts w:ascii="Arial" w:hAnsi="Arial" w:cs="Arial"/>
              </w:rPr>
            </w:pPr>
            <w:r>
              <w:rPr>
                <w:rFonts w:ascii="Arial" w:hAnsi="Arial" w:cs="Arial"/>
              </w:rPr>
              <w:t xml:space="preserve">Maintenance </w:t>
            </w:r>
          </w:p>
        </w:tc>
        <w:tc>
          <w:tcPr>
            <w:tcW w:w="3731" w:type="dxa"/>
            <w:tcBorders>
              <w:top w:val="single" w:sz="4" w:space="0" w:color="auto"/>
              <w:left w:val="single" w:sz="4" w:space="0" w:color="auto"/>
              <w:bottom w:val="single" w:sz="4" w:space="0" w:color="auto"/>
              <w:right w:val="single" w:sz="4" w:space="0" w:color="auto"/>
            </w:tcBorders>
          </w:tcPr>
          <w:p w14:paraId="5A2F3ECB" w14:textId="77777777" w:rsidR="00B71049" w:rsidRDefault="00B71049" w:rsidP="00EE5877">
            <w:pPr>
              <w:jc w:val="both"/>
              <w:rPr>
                <w:rFonts w:ascii="Arial" w:hAnsi="Arial" w:cs="Arial"/>
              </w:rPr>
            </w:pPr>
            <w:r>
              <w:rPr>
                <w:rFonts w:ascii="Arial" w:hAnsi="Arial" w:cs="Arial"/>
              </w:rPr>
              <w:t xml:space="preserve">Provide advice and guidance as needed relating to queries. </w:t>
            </w:r>
          </w:p>
        </w:tc>
        <w:tc>
          <w:tcPr>
            <w:tcW w:w="3855" w:type="dxa"/>
            <w:tcBorders>
              <w:top w:val="single" w:sz="4" w:space="0" w:color="auto"/>
              <w:left w:val="single" w:sz="4" w:space="0" w:color="auto"/>
              <w:bottom w:val="single" w:sz="4" w:space="0" w:color="auto"/>
              <w:right w:val="single" w:sz="4" w:space="0" w:color="auto"/>
            </w:tcBorders>
          </w:tcPr>
          <w:p w14:paraId="6188CF8E" w14:textId="77777777" w:rsidR="00B71049" w:rsidRDefault="00B71049" w:rsidP="00EE5877">
            <w:pPr>
              <w:autoSpaceDE w:val="0"/>
              <w:autoSpaceDN w:val="0"/>
              <w:adjustRightInd w:val="0"/>
              <w:jc w:val="both"/>
              <w:rPr>
                <w:rFonts w:ascii="Arial" w:hAnsi="Arial" w:cs="Arial"/>
              </w:rPr>
            </w:pPr>
            <w:r>
              <w:rPr>
                <w:rFonts w:ascii="Arial" w:hAnsi="Arial" w:cs="Arial"/>
              </w:rPr>
              <w:t xml:space="preserve">Patients will be monitored for their overall health. </w:t>
            </w:r>
          </w:p>
          <w:p w14:paraId="588F644F" w14:textId="77777777" w:rsidR="00B71049" w:rsidRDefault="00B71049" w:rsidP="00EE5877">
            <w:pPr>
              <w:autoSpaceDE w:val="0"/>
              <w:autoSpaceDN w:val="0"/>
              <w:adjustRightInd w:val="0"/>
              <w:jc w:val="both"/>
              <w:rPr>
                <w:rFonts w:ascii="Arial" w:hAnsi="Arial" w:cs="Arial"/>
              </w:rPr>
            </w:pPr>
            <w:r>
              <w:rPr>
                <w:rFonts w:ascii="Arial" w:hAnsi="Arial" w:cs="Arial"/>
              </w:rPr>
              <w:t xml:space="preserve">Blood monitoring as per monitoring above.  </w:t>
            </w:r>
          </w:p>
          <w:p w14:paraId="10080FDB" w14:textId="77777777" w:rsidR="00B71049" w:rsidRDefault="00B71049" w:rsidP="00EE5877">
            <w:pPr>
              <w:autoSpaceDE w:val="0"/>
              <w:autoSpaceDN w:val="0"/>
              <w:adjustRightInd w:val="0"/>
              <w:jc w:val="both"/>
              <w:rPr>
                <w:rFonts w:ascii="Arial" w:hAnsi="Arial" w:cs="Arial"/>
              </w:rPr>
            </w:pPr>
            <w:r>
              <w:rPr>
                <w:rFonts w:ascii="Arial" w:hAnsi="Arial" w:cs="Arial"/>
              </w:rPr>
              <w:t xml:space="preserve">Patients will be monitored for adverse drug reactions. </w:t>
            </w:r>
          </w:p>
          <w:p w14:paraId="20550047" w14:textId="77777777" w:rsidR="00B71049" w:rsidRDefault="00B71049" w:rsidP="00EE5877">
            <w:pPr>
              <w:jc w:val="both"/>
              <w:rPr>
                <w:rFonts w:ascii="Arial" w:hAnsi="Arial" w:cs="Arial"/>
              </w:rPr>
            </w:pPr>
            <w:r>
              <w:rPr>
                <w:rFonts w:ascii="Arial" w:hAnsi="Arial" w:cs="Arial"/>
              </w:rPr>
              <w:t xml:space="preserve">Patients will receive their follow-up prescription needs. </w:t>
            </w:r>
          </w:p>
        </w:tc>
      </w:tr>
    </w:tbl>
    <w:p w14:paraId="11A270EB" w14:textId="77777777" w:rsidR="00B71049" w:rsidRDefault="00B71049" w:rsidP="00B71049">
      <w:pPr>
        <w:jc w:val="both"/>
        <w:rPr>
          <w:rFonts w:ascii="Arial" w:hAnsi="Arial" w:cs="Arial"/>
        </w:rPr>
      </w:pPr>
    </w:p>
    <w:p w14:paraId="1FD29228" w14:textId="77777777" w:rsidR="00B71049" w:rsidRPr="00397DA8" w:rsidRDefault="00B71049" w:rsidP="00B71049">
      <w:pPr>
        <w:rPr>
          <w:rFonts w:ascii="Arial" w:hAnsi="Arial" w:cs="Arial"/>
        </w:rPr>
      </w:pPr>
      <w:r w:rsidRPr="00397DA8">
        <w:rPr>
          <w:rFonts w:ascii="Arial" w:hAnsi="Arial" w:cs="Arial"/>
        </w:rPr>
        <w:t xml:space="preserve">During office hours: </w:t>
      </w:r>
    </w:p>
    <w:p w14:paraId="6C3DD781" w14:textId="77777777" w:rsidR="00B71049" w:rsidRPr="00397DA8" w:rsidRDefault="00B71049" w:rsidP="00B71049">
      <w:pPr>
        <w:ind w:firstLine="720"/>
        <w:rPr>
          <w:rFonts w:ascii="Arial" w:hAnsi="Arial" w:cs="Arial"/>
        </w:rPr>
      </w:pPr>
      <w:r>
        <w:rPr>
          <w:rFonts w:ascii="Arial" w:hAnsi="Arial" w:cs="Arial"/>
        </w:rPr>
        <w:t xml:space="preserve">Motor Neurone </w:t>
      </w:r>
      <w:r w:rsidRPr="00397DA8">
        <w:rPr>
          <w:rFonts w:ascii="Arial" w:hAnsi="Arial" w:cs="Arial"/>
        </w:rPr>
        <w:t xml:space="preserve">Disease Specialist Nurses          </w:t>
      </w:r>
    </w:p>
    <w:p w14:paraId="1B815AF0" w14:textId="77777777" w:rsidR="00B71049" w:rsidRPr="00397DA8" w:rsidRDefault="00B71049" w:rsidP="00B71049">
      <w:pPr>
        <w:ind w:left="720" w:firstLine="720"/>
        <w:rPr>
          <w:rFonts w:ascii="Arial" w:hAnsi="Arial" w:cs="Arial"/>
        </w:rPr>
      </w:pPr>
      <w:r>
        <w:rPr>
          <w:rFonts w:ascii="Arial" w:hAnsi="Arial" w:cs="Arial"/>
        </w:rPr>
        <w:t>Vanessa Baker</w:t>
      </w:r>
      <w:r w:rsidRPr="00397DA8">
        <w:rPr>
          <w:rFonts w:ascii="Arial" w:hAnsi="Arial" w:cs="Arial"/>
        </w:rPr>
        <w:tab/>
      </w:r>
      <w:r w:rsidRPr="00397DA8">
        <w:rPr>
          <w:rFonts w:ascii="Arial" w:hAnsi="Arial" w:cs="Arial"/>
        </w:rPr>
        <w:tab/>
        <w:t xml:space="preserve">(01482) </w:t>
      </w:r>
      <w:r>
        <w:rPr>
          <w:rFonts w:ascii="Arial" w:hAnsi="Arial" w:cs="Arial"/>
        </w:rPr>
        <w:t>816781</w:t>
      </w:r>
    </w:p>
    <w:p w14:paraId="4C8A7264" w14:textId="77777777" w:rsidR="00B71049" w:rsidRPr="00397DA8" w:rsidRDefault="00B71049" w:rsidP="00B71049">
      <w:pPr>
        <w:rPr>
          <w:rFonts w:ascii="Arial" w:hAnsi="Arial" w:cs="Arial"/>
        </w:rPr>
      </w:pPr>
      <w:r w:rsidRPr="00397DA8">
        <w:rPr>
          <w:rFonts w:ascii="Arial" w:hAnsi="Arial" w:cs="Arial"/>
        </w:rPr>
        <w:tab/>
        <w:t xml:space="preserve">Neurology specialist pharmacist </w:t>
      </w:r>
    </w:p>
    <w:p w14:paraId="765351EC" w14:textId="77777777" w:rsidR="00B71049" w:rsidRPr="00397DA8" w:rsidRDefault="00B71049" w:rsidP="00B71049">
      <w:pPr>
        <w:ind w:left="720" w:firstLine="720"/>
        <w:rPr>
          <w:rFonts w:ascii="Arial" w:hAnsi="Arial" w:cs="Arial"/>
        </w:rPr>
      </w:pPr>
      <w:r w:rsidRPr="00397DA8">
        <w:rPr>
          <w:rFonts w:ascii="Arial" w:hAnsi="Arial" w:cs="Arial"/>
        </w:rPr>
        <w:t>Jane Morgan</w:t>
      </w:r>
      <w:r w:rsidRPr="00397DA8">
        <w:rPr>
          <w:rFonts w:ascii="Arial" w:hAnsi="Arial" w:cs="Arial"/>
        </w:rPr>
        <w:tab/>
      </w:r>
      <w:r>
        <w:rPr>
          <w:rFonts w:ascii="Arial" w:hAnsi="Arial" w:cs="Arial"/>
        </w:rPr>
        <w:t xml:space="preserve">or Priscilla </w:t>
      </w:r>
      <w:proofErr w:type="spellStart"/>
      <w:r>
        <w:rPr>
          <w:rFonts w:ascii="Arial" w:hAnsi="Arial" w:cs="Arial"/>
        </w:rPr>
        <w:t>Kanyoka</w:t>
      </w:r>
      <w:proofErr w:type="spellEnd"/>
      <w:r w:rsidRPr="00397DA8">
        <w:rPr>
          <w:rFonts w:ascii="Arial" w:hAnsi="Arial" w:cs="Arial"/>
        </w:rPr>
        <w:tab/>
      </w:r>
      <w:r w:rsidRPr="00397DA8">
        <w:rPr>
          <w:rFonts w:ascii="Arial" w:hAnsi="Arial" w:cs="Arial"/>
        </w:rPr>
        <w:tab/>
        <w:t>Via switchboard (01482 875875)</w:t>
      </w:r>
    </w:p>
    <w:p w14:paraId="757AC4A4" w14:textId="77777777" w:rsidR="00B71049" w:rsidRPr="00397DA8" w:rsidRDefault="00B71049" w:rsidP="00B71049">
      <w:pPr>
        <w:rPr>
          <w:rFonts w:ascii="Arial" w:hAnsi="Arial" w:cs="Arial"/>
        </w:rPr>
      </w:pPr>
      <w:r w:rsidRPr="00397DA8">
        <w:rPr>
          <w:rFonts w:ascii="Arial" w:hAnsi="Arial" w:cs="Arial"/>
        </w:rPr>
        <w:tab/>
        <w:t>Consultant neurologist</w:t>
      </w:r>
    </w:p>
    <w:p w14:paraId="01D6B5CD" w14:textId="77777777" w:rsidR="00B71049" w:rsidRPr="00397DA8" w:rsidRDefault="00B71049" w:rsidP="00B71049">
      <w:pPr>
        <w:rPr>
          <w:rFonts w:ascii="Arial" w:hAnsi="Arial" w:cs="Arial"/>
        </w:rPr>
      </w:pPr>
      <w:r w:rsidRPr="00397DA8">
        <w:rPr>
          <w:rFonts w:ascii="Arial" w:hAnsi="Arial" w:cs="Arial"/>
        </w:rPr>
        <w:tab/>
      </w:r>
      <w:r w:rsidRPr="00397DA8">
        <w:rPr>
          <w:rFonts w:ascii="Arial" w:hAnsi="Arial" w:cs="Arial"/>
        </w:rPr>
        <w:tab/>
        <w:t>As per clinic letter</w:t>
      </w:r>
      <w:r w:rsidRPr="00397DA8">
        <w:rPr>
          <w:rFonts w:ascii="Arial" w:hAnsi="Arial" w:cs="Arial"/>
        </w:rPr>
        <w:tab/>
      </w:r>
      <w:r w:rsidRPr="00397DA8">
        <w:rPr>
          <w:rFonts w:ascii="Arial" w:hAnsi="Arial" w:cs="Arial"/>
        </w:rPr>
        <w:tab/>
        <w:t>Via switchboard</w:t>
      </w:r>
    </w:p>
    <w:p w14:paraId="25093471" w14:textId="77777777" w:rsidR="00B71049" w:rsidRPr="00397DA8" w:rsidRDefault="00B71049" w:rsidP="00B71049">
      <w:pPr>
        <w:rPr>
          <w:rFonts w:ascii="Arial" w:hAnsi="Arial" w:cs="Arial"/>
        </w:rPr>
      </w:pPr>
    </w:p>
    <w:p w14:paraId="6D2DAB04" w14:textId="77777777" w:rsidR="00B71049" w:rsidRPr="00397DA8" w:rsidRDefault="00B71049" w:rsidP="00B71049">
      <w:pPr>
        <w:rPr>
          <w:rFonts w:ascii="Arial" w:hAnsi="Arial" w:cs="Arial"/>
        </w:rPr>
      </w:pPr>
      <w:r w:rsidRPr="00397DA8">
        <w:rPr>
          <w:rFonts w:ascii="Arial" w:hAnsi="Arial" w:cs="Arial"/>
        </w:rPr>
        <w:t>Out of hours:   contact on call registrar for neurology via switchboard</w:t>
      </w:r>
    </w:p>
    <w:p w14:paraId="7803C0EB" w14:textId="77777777" w:rsidR="00B71049" w:rsidRDefault="00B71049" w:rsidP="00B71049">
      <w:pPr>
        <w:rPr>
          <w:rFonts w:ascii="Arial" w:hAnsi="Arial" w:cs="Arial"/>
        </w:rPr>
      </w:pPr>
    </w:p>
    <w:p w14:paraId="607D5703" w14:textId="3A3ABD44" w:rsidR="00B71049" w:rsidRPr="00637C6C" w:rsidRDefault="00B71049" w:rsidP="00637C6C">
      <w:pPr>
        <w:rPr>
          <w:rFonts w:ascii="Arial" w:hAnsi="Arial" w:cs="Arial"/>
          <w:b/>
        </w:rPr>
      </w:pPr>
      <w:r>
        <w:rPr>
          <w:rFonts w:ascii="Arial" w:hAnsi="Arial" w:cs="Arial"/>
          <w:b/>
        </w:rPr>
        <w:t>APPROVAL PROCESS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6255"/>
      </w:tblGrid>
      <w:tr w:rsidR="00B71049" w14:paraId="28FCE4DB" w14:textId="77777777" w:rsidTr="00EE5877">
        <w:tc>
          <w:tcPr>
            <w:tcW w:w="2853" w:type="dxa"/>
          </w:tcPr>
          <w:p w14:paraId="437FF172" w14:textId="77777777" w:rsidR="00B71049" w:rsidRDefault="00B71049" w:rsidP="00EE5877">
            <w:pPr>
              <w:rPr>
                <w:rFonts w:ascii="Arial" w:hAnsi="Arial" w:cs="Arial"/>
                <w:b/>
              </w:rPr>
            </w:pPr>
            <w:r>
              <w:rPr>
                <w:rFonts w:ascii="Arial" w:hAnsi="Arial" w:cs="Arial"/>
                <w:b/>
              </w:rPr>
              <w:t>Written by:</w:t>
            </w:r>
          </w:p>
        </w:tc>
        <w:tc>
          <w:tcPr>
            <w:tcW w:w="6255" w:type="dxa"/>
          </w:tcPr>
          <w:p w14:paraId="1E5E76B6" w14:textId="77777777" w:rsidR="00B71049" w:rsidRPr="00397DA8" w:rsidRDefault="00B71049" w:rsidP="00EE5877">
            <w:pPr>
              <w:rPr>
                <w:rFonts w:ascii="Arial" w:hAnsi="Arial" w:cs="Arial"/>
              </w:rPr>
            </w:pPr>
            <w:r w:rsidRPr="00397DA8">
              <w:rPr>
                <w:rFonts w:ascii="Arial" w:hAnsi="Arial" w:cs="Arial"/>
              </w:rPr>
              <w:t>Jane Morgan, Medicines Information Pharmacist, HEY</w:t>
            </w:r>
            <w:r>
              <w:rPr>
                <w:rFonts w:ascii="Arial" w:hAnsi="Arial" w:cs="Arial"/>
              </w:rPr>
              <w:t xml:space="preserve"> Reviewed by Jane Morgan, MI Pharmacist HEY May 17, Reviewed by Jane Morgan, Interface Pharmacist HUTH March 2020</w:t>
            </w:r>
          </w:p>
        </w:tc>
      </w:tr>
      <w:tr w:rsidR="00B71049" w14:paraId="4597A575" w14:textId="77777777" w:rsidTr="00EE5877">
        <w:tc>
          <w:tcPr>
            <w:tcW w:w="2853" w:type="dxa"/>
          </w:tcPr>
          <w:p w14:paraId="08E47D01" w14:textId="77777777" w:rsidR="00B71049" w:rsidRDefault="00B71049" w:rsidP="00EE5877">
            <w:pPr>
              <w:rPr>
                <w:rFonts w:ascii="Arial" w:hAnsi="Arial" w:cs="Arial"/>
                <w:b/>
              </w:rPr>
            </w:pPr>
            <w:r>
              <w:rPr>
                <w:rFonts w:ascii="Arial" w:hAnsi="Arial" w:cs="Arial"/>
                <w:b/>
              </w:rPr>
              <w:t>Consultation process:</w:t>
            </w:r>
          </w:p>
        </w:tc>
        <w:tc>
          <w:tcPr>
            <w:tcW w:w="6255" w:type="dxa"/>
          </w:tcPr>
          <w:p w14:paraId="409C41DE" w14:textId="77777777" w:rsidR="00B71049" w:rsidRPr="00397DA8" w:rsidRDefault="00B71049" w:rsidP="00EE5877">
            <w:pPr>
              <w:rPr>
                <w:rFonts w:ascii="Arial" w:hAnsi="Arial" w:cs="Arial"/>
              </w:rPr>
            </w:pPr>
            <w:r w:rsidRPr="00397DA8">
              <w:rPr>
                <w:rFonts w:ascii="Arial" w:hAnsi="Arial" w:cs="Arial"/>
              </w:rPr>
              <w:t>Dr A Ming, Consultant Neurologist, HEY</w:t>
            </w:r>
            <w:r>
              <w:rPr>
                <w:rFonts w:ascii="Arial" w:hAnsi="Arial" w:cs="Arial"/>
              </w:rPr>
              <w:t xml:space="preserve">, Dr Nandakumar, Consultant Neurologist, HUTH. </w:t>
            </w:r>
          </w:p>
        </w:tc>
      </w:tr>
      <w:tr w:rsidR="00B71049" w14:paraId="5700716D" w14:textId="77777777" w:rsidTr="00EE5877">
        <w:tc>
          <w:tcPr>
            <w:tcW w:w="2853" w:type="dxa"/>
          </w:tcPr>
          <w:p w14:paraId="65B3621A" w14:textId="77777777" w:rsidR="00B71049" w:rsidRDefault="00B71049" w:rsidP="00EE5877">
            <w:pPr>
              <w:rPr>
                <w:rFonts w:ascii="Arial" w:hAnsi="Arial" w:cs="Arial"/>
                <w:b/>
              </w:rPr>
            </w:pPr>
            <w:r>
              <w:rPr>
                <w:rFonts w:ascii="Arial" w:hAnsi="Arial" w:cs="Arial"/>
                <w:b/>
              </w:rPr>
              <w:t>Approved by:</w:t>
            </w:r>
          </w:p>
        </w:tc>
        <w:tc>
          <w:tcPr>
            <w:tcW w:w="6255" w:type="dxa"/>
          </w:tcPr>
          <w:p w14:paraId="2DC76F2A" w14:textId="77777777" w:rsidR="00B71049" w:rsidRPr="00397DA8" w:rsidRDefault="00B71049" w:rsidP="00EE5877">
            <w:pPr>
              <w:rPr>
                <w:rFonts w:ascii="Arial" w:hAnsi="Arial" w:cs="Arial"/>
              </w:rPr>
            </w:pPr>
            <w:r>
              <w:rPr>
                <w:rFonts w:ascii="Arial" w:hAnsi="Arial" w:cs="Arial"/>
              </w:rPr>
              <w:t>MMIG</w:t>
            </w:r>
          </w:p>
        </w:tc>
      </w:tr>
      <w:tr w:rsidR="00B71049" w14:paraId="6A163A0A" w14:textId="77777777" w:rsidTr="00EE5877">
        <w:tc>
          <w:tcPr>
            <w:tcW w:w="2853" w:type="dxa"/>
          </w:tcPr>
          <w:p w14:paraId="470C5444" w14:textId="77777777" w:rsidR="00B71049" w:rsidRDefault="00B71049" w:rsidP="00EE5877">
            <w:pPr>
              <w:rPr>
                <w:rFonts w:ascii="Arial" w:hAnsi="Arial" w:cs="Arial"/>
                <w:b/>
              </w:rPr>
            </w:pPr>
            <w:r>
              <w:rPr>
                <w:rFonts w:ascii="Arial" w:hAnsi="Arial" w:cs="Arial"/>
                <w:b/>
              </w:rPr>
              <w:t>Ratified by:</w:t>
            </w:r>
          </w:p>
        </w:tc>
        <w:tc>
          <w:tcPr>
            <w:tcW w:w="6255" w:type="dxa"/>
          </w:tcPr>
          <w:p w14:paraId="3F097D3C" w14:textId="77777777" w:rsidR="00B71049" w:rsidRPr="0023261E" w:rsidRDefault="00B71049" w:rsidP="00EE5877">
            <w:pPr>
              <w:rPr>
                <w:rFonts w:ascii="Arial" w:hAnsi="Arial" w:cs="Arial"/>
              </w:rPr>
            </w:pPr>
            <w:r>
              <w:rPr>
                <w:rFonts w:ascii="Arial" w:hAnsi="Arial" w:cs="Arial"/>
              </w:rPr>
              <w:t>HERPC</w:t>
            </w:r>
          </w:p>
        </w:tc>
      </w:tr>
      <w:tr w:rsidR="00B71049" w14:paraId="13394505" w14:textId="77777777" w:rsidTr="00EE5877">
        <w:tc>
          <w:tcPr>
            <w:tcW w:w="2853" w:type="dxa"/>
          </w:tcPr>
          <w:p w14:paraId="71BD8A44" w14:textId="77777777" w:rsidR="00B71049" w:rsidRDefault="00B71049" w:rsidP="00EE5877">
            <w:pPr>
              <w:rPr>
                <w:rFonts w:ascii="Arial" w:hAnsi="Arial" w:cs="Arial"/>
                <w:b/>
              </w:rPr>
            </w:pPr>
            <w:r>
              <w:rPr>
                <w:rFonts w:ascii="Arial" w:hAnsi="Arial" w:cs="Arial"/>
                <w:b/>
              </w:rPr>
              <w:t>Review date:</w:t>
            </w:r>
          </w:p>
        </w:tc>
        <w:tc>
          <w:tcPr>
            <w:tcW w:w="6255" w:type="dxa"/>
          </w:tcPr>
          <w:p w14:paraId="0F6E3D7B" w14:textId="77777777" w:rsidR="00B71049" w:rsidRPr="0023261E" w:rsidRDefault="00B71049" w:rsidP="00EE5877">
            <w:pPr>
              <w:rPr>
                <w:rFonts w:ascii="Arial" w:hAnsi="Arial" w:cs="Arial"/>
              </w:rPr>
            </w:pPr>
            <w:r>
              <w:rPr>
                <w:rFonts w:ascii="Arial" w:hAnsi="Arial" w:cs="Arial"/>
              </w:rPr>
              <w:t>November 2023</w:t>
            </w:r>
          </w:p>
        </w:tc>
      </w:tr>
    </w:tbl>
    <w:p w14:paraId="5BF73696" w14:textId="0C7BFF25" w:rsidR="00A16B0A" w:rsidRDefault="00B71049" w:rsidP="00B744C5">
      <w:pPr>
        <w:jc w:val="both"/>
        <w:rPr>
          <w:rFonts w:ascii="Arial" w:hAnsi="Arial" w:cs="Arial"/>
        </w:rPr>
      </w:pPr>
      <w:r>
        <w:rPr>
          <w:noProof/>
        </w:rPr>
        <w:lastRenderedPageBreak/>
        <mc:AlternateContent>
          <mc:Choice Requires="wps">
            <w:drawing>
              <wp:anchor distT="0" distB="0" distL="114300" distR="114300" simplePos="0" relativeHeight="251661312" behindDoc="0" locked="0" layoutInCell="0" allowOverlap="1" wp14:anchorId="2CE3D6E2" wp14:editId="0AB537A3">
                <wp:simplePos x="0" y="0"/>
                <wp:positionH relativeFrom="column">
                  <wp:posOffset>-901700</wp:posOffset>
                </wp:positionH>
                <wp:positionV relativeFrom="paragraph">
                  <wp:posOffset>72390</wp:posOffset>
                </wp:positionV>
                <wp:extent cx="1410335" cy="800100"/>
                <wp:effectExtent l="317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800100"/>
                        </a:xfrm>
                        <a:prstGeom prst="rect">
                          <a:avLst/>
                        </a:prstGeom>
                        <a:noFill/>
                        <a:ln>
                          <a:noFill/>
                        </a:ln>
                        <a:extLst>
                          <a:ext uri="{909E8E84-426E-40DD-AFC4-6F175D3DCCD1}">
                            <a14:hiddenFill xmlns:a14="http://schemas.microsoft.com/office/drawing/2010/main">
                              <a:solidFill>
                                <a:srgbClr val="FEDC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28E6" w14:textId="77777777" w:rsidR="00B71049" w:rsidRDefault="00B71049" w:rsidP="00B71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D6E2" id="Text Box 4" o:spid="_x0000_s1031" type="#_x0000_t202" style="position:absolute;left:0;text-align:left;margin-left:-71pt;margin-top:5.7pt;width:111.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" o:allowincell="f" filled="f" fillcolor="#fedc60" stroked="f">
                <v:textbox>
                  <w:txbxContent>
                    <w:p w14:paraId="04A428E6" w14:textId="77777777" w:rsidR="00B71049" w:rsidRDefault="00B71049" w:rsidP="00B71049"/>
                  </w:txbxContent>
                </v:textbox>
              </v:shape>
            </w:pict>
          </mc:Fallback>
        </mc:AlternateContent>
      </w:r>
    </w:p>
    <w:sectPr w:rsidR="00A16B0A" w:rsidSect="005640A5">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12E"/>
    <w:multiLevelType w:val="hybridMultilevel"/>
    <w:tmpl w:val="44F4B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693CAF"/>
    <w:multiLevelType w:val="hybridMultilevel"/>
    <w:tmpl w:val="CCC8CD5A"/>
    <w:lvl w:ilvl="0" w:tplc="0409000F">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40F1DBC"/>
    <w:multiLevelType w:val="hybridMultilevel"/>
    <w:tmpl w:val="8C90D886"/>
    <w:lvl w:ilvl="0" w:tplc="0409000F">
      <w:start w:val="5"/>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DE3852"/>
    <w:multiLevelType w:val="hybridMultilevel"/>
    <w:tmpl w:val="D688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21C57"/>
    <w:multiLevelType w:val="hybridMultilevel"/>
    <w:tmpl w:val="3DEA9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F3464"/>
    <w:multiLevelType w:val="hybridMultilevel"/>
    <w:tmpl w:val="2E503170"/>
    <w:lvl w:ilvl="0" w:tplc="7D803038">
      <w:start w:val="1"/>
      <w:numFmt w:val="decimal"/>
      <w:lvlText w:val="%1."/>
      <w:lvlJc w:val="left"/>
      <w:pPr>
        <w:ind w:left="399" w:hanging="360"/>
      </w:pPr>
      <w:rPr>
        <w:rFonts w:hint="default"/>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6" w15:restartNumberingAfterBreak="0">
    <w:nsid w:val="4EE738FF"/>
    <w:multiLevelType w:val="hybridMultilevel"/>
    <w:tmpl w:val="8CD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D1ED3"/>
    <w:multiLevelType w:val="hybridMultilevel"/>
    <w:tmpl w:val="65CCBE2E"/>
    <w:lvl w:ilvl="0" w:tplc="54E075E8">
      <w:start w:val="9"/>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63F6D0D"/>
    <w:multiLevelType w:val="hybridMultilevel"/>
    <w:tmpl w:val="A326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D8B"/>
    <w:multiLevelType w:val="hybridMultilevel"/>
    <w:tmpl w:val="CE2E5FE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75326BE"/>
    <w:multiLevelType w:val="hybridMultilevel"/>
    <w:tmpl w:val="E4F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F0690"/>
    <w:multiLevelType w:val="hybridMultilevel"/>
    <w:tmpl w:val="B9D00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BF"/>
    <w:rsid w:val="00041165"/>
    <w:rsid w:val="000538A1"/>
    <w:rsid w:val="00061AE2"/>
    <w:rsid w:val="000C6BB0"/>
    <w:rsid w:val="000D03CC"/>
    <w:rsid w:val="000E2F3A"/>
    <w:rsid w:val="000F1DC4"/>
    <w:rsid w:val="001010C7"/>
    <w:rsid w:val="00105E34"/>
    <w:rsid w:val="00131B07"/>
    <w:rsid w:val="00133909"/>
    <w:rsid w:val="001413E1"/>
    <w:rsid w:val="00184AAF"/>
    <w:rsid w:val="00187351"/>
    <w:rsid w:val="00197760"/>
    <w:rsid w:val="001A7913"/>
    <w:rsid w:val="001C26D2"/>
    <w:rsid w:val="00205A1A"/>
    <w:rsid w:val="002635D3"/>
    <w:rsid w:val="002740DE"/>
    <w:rsid w:val="002A7F76"/>
    <w:rsid w:val="002C04F8"/>
    <w:rsid w:val="002D4FDE"/>
    <w:rsid w:val="002E20A6"/>
    <w:rsid w:val="002E6005"/>
    <w:rsid w:val="003210C3"/>
    <w:rsid w:val="003274D8"/>
    <w:rsid w:val="00330545"/>
    <w:rsid w:val="00341079"/>
    <w:rsid w:val="00394776"/>
    <w:rsid w:val="003C0AF6"/>
    <w:rsid w:val="003C3FCC"/>
    <w:rsid w:val="003D289F"/>
    <w:rsid w:val="003D4A2C"/>
    <w:rsid w:val="003F1E09"/>
    <w:rsid w:val="00400731"/>
    <w:rsid w:val="00412A2E"/>
    <w:rsid w:val="0043320D"/>
    <w:rsid w:val="00464CFE"/>
    <w:rsid w:val="00474345"/>
    <w:rsid w:val="004853FD"/>
    <w:rsid w:val="004922AE"/>
    <w:rsid w:val="004B5471"/>
    <w:rsid w:val="004D4122"/>
    <w:rsid w:val="004D5C4D"/>
    <w:rsid w:val="004F38C2"/>
    <w:rsid w:val="004F5590"/>
    <w:rsid w:val="00523F78"/>
    <w:rsid w:val="0055236F"/>
    <w:rsid w:val="00554897"/>
    <w:rsid w:val="005640A5"/>
    <w:rsid w:val="005A019B"/>
    <w:rsid w:val="005A49A9"/>
    <w:rsid w:val="005B687C"/>
    <w:rsid w:val="005D7B2B"/>
    <w:rsid w:val="005E04BF"/>
    <w:rsid w:val="005E2A81"/>
    <w:rsid w:val="00603736"/>
    <w:rsid w:val="006171D0"/>
    <w:rsid w:val="006316C5"/>
    <w:rsid w:val="006378BF"/>
    <w:rsid w:val="00637C6C"/>
    <w:rsid w:val="0067090B"/>
    <w:rsid w:val="00674D0B"/>
    <w:rsid w:val="0069767B"/>
    <w:rsid w:val="006B2077"/>
    <w:rsid w:val="006C3F03"/>
    <w:rsid w:val="006D2815"/>
    <w:rsid w:val="00706F4C"/>
    <w:rsid w:val="00732F87"/>
    <w:rsid w:val="00751DD1"/>
    <w:rsid w:val="0076799E"/>
    <w:rsid w:val="0079585A"/>
    <w:rsid w:val="0079591F"/>
    <w:rsid w:val="007973A2"/>
    <w:rsid w:val="007A2F7E"/>
    <w:rsid w:val="007D1F5B"/>
    <w:rsid w:val="007F5EAC"/>
    <w:rsid w:val="00827C9E"/>
    <w:rsid w:val="00856918"/>
    <w:rsid w:val="008613BF"/>
    <w:rsid w:val="0087158B"/>
    <w:rsid w:val="0088687F"/>
    <w:rsid w:val="008C7DD8"/>
    <w:rsid w:val="008E7656"/>
    <w:rsid w:val="008F5A41"/>
    <w:rsid w:val="008F63B0"/>
    <w:rsid w:val="00941350"/>
    <w:rsid w:val="009422FA"/>
    <w:rsid w:val="00943E72"/>
    <w:rsid w:val="00947E2A"/>
    <w:rsid w:val="00971F9E"/>
    <w:rsid w:val="009A3A1A"/>
    <w:rsid w:val="009A7D25"/>
    <w:rsid w:val="009B00BB"/>
    <w:rsid w:val="009B4519"/>
    <w:rsid w:val="009D1F1B"/>
    <w:rsid w:val="009F1DCB"/>
    <w:rsid w:val="009F3821"/>
    <w:rsid w:val="00A01233"/>
    <w:rsid w:val="00A16B0A"/>
    <w:rsid w:val="00A50483"/>
    <w:rsid w:val="00A57133"/>
    <w:rsid w:val="00A7509F"/>
    <w:rsid w:val="00A91CAA"/>
    <w:rsid w:val="00A94664"/>
    <w:rsid w:val="00A94712"/>
    <w:rsid w:val="00AE6544"/>
    <w:rsid w:val="00AF7F6A"/>
    <w:rsid w:val="00B17F76"/>
    <w:rsid w:val="00B427C6"/>
    <w:rsid w:val="00B70658"/>
    <w:rsid w:val="00B71049"/>
    <w:rsid w:val="00B744C5"/>
    <w:rsid w:val="00BA20A6"/>
    <w:rsid w:val="00BA7D8C"/>
    <w:rsid w:val="00BE4346"/>
    <w:rsid w:val="00BE5F50"/>
    <w:rsid w:val="00C324E6"/>
    <w:rsid w:val="00C36DA6"/>
    <w:rsid w:val="00C45EF2"/>
    <w:rsid w:val="00C4754B"/>
    <w:rsid w:val="00C7057B"/>
    <w:rsid w:val="00C74C3B"/>
    <w:rsid w:val="00C80334"/>
    <w:rsid w:val="00C921D3"/>
    <w:rsid w:val="00CB4970"/>
    <w:rsid w:val="00CB5B37"/>
    <w:rsid w:val="00CF6D47"/>
    <w:rsid w:val="00D31729"/>
    <w:rsid w:val="00D51A34"/>
    <w:rsid w:val="00D53994"/>
    <w:rsid w:val="00D94141"/>
    <w:rsid w:val="00D94F4E"/>
    <w:rsid w:val="00D97DCC"/>
    <w:rsid w:val="00DA428D"/>
    <w:rsid w:val="00DE2EFF"/>
    <w:rsid w:val="00DE2F91"/>
    <w:rsid w:val="00E02F67"/>
    <w:rsid w:val="00E211CD"/>
    <w:rsid w:val="00E34B48"/>
    <w:rsid w:val="00E45EA8"/>
    <w:rsid w:val="00E770B5"/>
    <w:rsid w:val="00E80248"/>
    <w:rsid w:val="00E97CDA"/>
    <w:rsid w:val="00EB6F1E"/>
    <w:rsid w:val="00EE6104"/>
    <w:rsid w:val="00FF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C15BF6"/>
  <w15:docId w15:val="{FAC33D89-D761-4F82-B46E-38B408B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F"/>
    <w:pPr>
      <w:spacing w:before="120" w:after="120" w:line="240" w:lineRule="auto"/>
    </w:pPr>
  </w:style>
  <w:style w:type="paragraph" w:styleId="Heading1">
    <w:name w:val="heading 1"/>
    <w:basedOn w:val="Normal"/>
    <w:next w:val="Normal"/>
    <w:link w:val="Heading1Char"/>
    <w:uiPriority w:val="9"/>
    <w:qFormat/>
    <w:rsid w:val="006378BF"/>
    <w:pPr>
      <w:outlineLvl w:val="0"/>
    </w:pPr>
    <w:rPr>
      <w:rFonts w:ascii="Arial" w:hAnsi="Arial" w:cs="Arial"/>
      <w:b/>
      <w:sz w:val="32"/>
      <w:szCs w:val="24"/>
    </w:rPr>
  </w:style>
  <w:style w:type="paragraph" w:styleId="Heading2">
    <w:name w:val="heading 2"/>
    <w:basedOn w:val="Normal"/>
    <w:next w:val="Normal"/>
    <w:link w:val="Heading2Char"/>
    <w:uiPriority w:val="9"/>
    <w:unhideWhenUsed/>
    <w:qFormat/>
    <w:rsid w:val="005A4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4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8BF"/>
    <w:rPr>
      <w:rFonts w:ascii="Arial" w:hAnsi="Arial" w:cs="Arial"/>
      <w:b/>
      <w:sz w:val="32"/>
      <w:szCs w:val="24"/>
    </w:rPr>
  </w:style>
  <w:style w:type="paragraph" w:styleId="ListParagraph">
    <w:name w:val="List Paragraph"/>
    <w:basedOn w:val="Normal"/>
    <w:uiPriority w:val="34"/>
    <w:qFormat/>
    <w:rsid w:val="006378BF"/>
    <w:pPr>
      <w:ind w:left="720"/>
      <w:contextualSpacing/>
    </w:pPr>
  </w:style>
  <w:style w:type="table" w:styleId="TableGrid">
    <w:name w:val="Table Grid"/>
    <w:basedOn w:val="TableNormal"/>
    <w:uiPriority w:val="39"/>
    <w:rsid w:val="0063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8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BF"/>
    <w:rPr>
      <w:rFonts w:ascii="Tahoma" w:hAnsi="Tahoma" w:cs="Tahoma"/>
      <w:sz w:val="16"/>
      <w:szCs w:val="16"/>
    </w:rPr>
  </w:style>
  <w:style w:type="character" w:customStyle="1" w:styleId="Heading2Char">
    <w:name w:val="Heading 2 Char"/>
    <w:basedOn w:val="DefaultParagraphFont"/>
    <w:link w:val="Heading2"/>
    <w:uiPriority w:val="9"/>
    <w:rsid w:val="005A49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49A9"/>
    <w:rPr>
      <w:rFonts w:asciiTheme="majorHAnsi" w:eastAsiaTheme="majorEastAsia" w:hAnsiTheme="majorHAnsi" w:cstheme="majorBidi"/>
      <w:color w:val="243F60" w:themeColor="accent1" w:themeShade="7F"/>
      <w:sz w:val="24"/>
      <w:szCs w:val="24"/>
    </w:rPr>
  </w:style>
  <w:style w:type="character" w:styleId="Hyperlink">
    <w:name w:val="Hyperlink"/>
    <w:rsid w:val="005A49A9"/>
    <w:rPr>
      <w:color w:val="0000FF"/>
      <w:u w:val="single"/>
    </w:rPr>
  </w:style>
  <w:style w:type="paragraph" w:styleId="BodyText">
    <w:name w:val="Body Text"/>
    <w:basedOn w:val="Normal"/>
    <w:link w:val="BodyTextChar"/>
    <w:rsid w:val="005A49A9"/>
    <w:pPr>
      <w:spacing w:before="0" w:after="0"/>
    </w:pPr>
    <w:rPr>
      <w:rFonts w:ascii="Arial" w:eastAsia="Times New Roman" w:hAnsi="Arial" w:cs="Arial"/>
      <w:b/>
      <w:bCs/>
      <w:sz w:val="24"/>
      <w:szCs w:val="24"/>
    </w:rPr>
  </w:style>
  <w:style w:type="character" w:customStyle="1" w:styleId="BodyTextChar">
    <w:name w:val="Body Text Char"/>
    <w:basedOn w:val="DefaultParagraphFont"/>
    <w:link w:val="BodyText"/>
    <w:rsid w:val="005A49A9"/>
    <w:rPr>
      <w:rFonts w:ascii="Arial" w:eastAsia="Times New Roman" w:hAnsi="Arial" w:cs="Arial"/>
      <w:b/>
      <w:bCs/>
      <w:sz w:val="24"/>
      <w:szCs w:val="24"/>
    </w:rPr>
  </w:style>
  <w:style w:type="paragraph" w:styleId="BodyText2">
    <w:name w:val="Body Text 2"/>
    <w:basedOn w:val="Normal"/>
    <w:link w:val="BodyText2Char"/>
    <w:rsid w:val="005A49A9"/>
    <w:pPr>
      <w:spacing w:before="0" w:after="0"/>
      <w:jc w:val="both"/>
    </w:pPr>
    <w:rPr>
      <w:rFonts w:ascii="Arial" w:eastAsia="Times New Roman" w:hAnsi="Arial" w:cs="Arial"/>
      <w:szCs w:val="24"/>
    </w:rPr>
  </w:style>
  <w:style w:type="character" w:customStyle="1" w:styleId="BodyText2Char">
    <w:name w:val="Body Text 2 Char"/>
    <w:basedOn w:val="DefaultParagraphFont"/>
    <w:link w:val="BodyText2"/>
    <w:rsid w:val="005A49A9"/>
    <w:rPr>
      <w:rFonts w:ascii="Arial" w:eastAsia="Times New Roman" w:hAnsi="Arial" w:cs="Arial"/>
      <w:szCs w:val="24"/>
    </w:rPr>
  </w:style>
  <w:style w:type="paragraph" w:customStyle="1" w:styleId="caj1">
    <w:name w:val="caj1"/>
    <w:basedOn w:val="Normal"/>
    <w:rsid w:val="005A49A9"/>
    <w:pPr>
      <w:spacing w:before="0" w:after="0"/>
    </w:pPr>
    <w:rPr>
      <w:rFonts w:ascii="Times New Roman" w:eastAsia="Times New Roman" w:hAnsi="Times New Roman" w:cs="Times New Roman"/>
      <w:sz w:val="24"/>
      <w:szCs w:val="24"/>
      <w:lang w:eastAsia="en-GB"/>
    </w:rPr>
  </w:style>
  <w:style w:type="paragraph" w:customStyle="1" w:styleId="Default">
    <w:name w:val="Default"/>
    <w:rsid w:val="005A49A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1413E1"/>
    <w:rPr>
      <w:color w:val="4A442A" w:themeColor="background2" w:themeShade="40"/>
    </w:rPr>
  </w:style>
  <w:style w:type="paragraph" w:styleId="NoSpacing">
    <w:name w:val="No Spacing"/>
    <w:uiPriority w:val="1"/>
    <w:qFormat/>
    <w:rsid w:val="001413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g.org.uk"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ines.org.uk/" TargetMode="External"/><Relationship Id="rId5" Type="http://schemas.openxmlformats.org/officeDocument/2006/relationships/styles" Target="styles.xml"/><Relationship Id="rId10" Type="http://schemas.openxmlformats.org/officeDocument/2006/relationships/hyperlink" Target="https://www.fsrh.org/standards-and-guidance/documents/ceu-clinical-guidance-drug-interactions-with-hormonal/" TargetMode="External"/><Relationship Id="rId4" Type="http://schemas.openxmlformats.org/officeDocument/2006/relationships/numbering" Target="numbering.xml"/><Relationship Id="rId9" Type="http://schemas.openxmlformats.org/officeDocument/2006/relationships/hyperlink" Target="http://www.medicines.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A4A5C61B9451CA67EFDABF33AC263"/>
        <w:category>
          <w:name w:val="General"/>
          <w:gallery w:val="placeholder"/>
        </w:category>
        <w:types>
          <w:type w:val="bbPlcHdr"/>
        </w:types>
        <w:behaviors>
          <w:behavior w:val="content"/>
        </w:behaviors>
        <w:guid w:val="{3D969768-D213-46E7-B9C2-7B5BABF5856C}"/>
      </w:docPartPr>
      <w:docPartBody>
        <w:p w:rsidR="00D14484" w:rsidRDefault="002A3F40" w:rsidP="002A3F40">
          <w:pPr>
            <w:pStyle w:val="7B4A4A5C61B9451CA67EFDABF33AC263"/>
          </w:pPr>
          <w:r w:rsidRPr="00465B88">
            <w:rPr>
              <w:rStyle w:val="PlaceholderText"/>
              <w:rFonts w:ascii="Arial" w:hAnsi="Arial" w:cs="Arial"/>
            </w:rPr>
            <w:t>Click or tap here to enter text.</w:t>
          </w:r>
        </w:p>
      </w:docPartBody>
    </w:docPart>
    <w:docPart>
      <w:docPartPr>
        <w:name w:val="ECF697849056447AA49A8A9379CE3103"/>
        <w:category>
          <w:name w:val="General"/>
          <w:gallery w:val="placeholder"/>
        </w:category>
        <w:types>
          <w:type w:val="bbPlcHdr"/>
        </w:types>
        <w:behaviors>
          <w:behavior w:val="content"/>
        </w:behaviors>
        <w:guid w:val="{B17BA2A1-D70E-46FA-A359-0756B5D904CD}"/>
      </w:docPartPr>
      <w:docPartBody>
        <w:p w:rsidR="00D14484" w:rsidRDefault="002A3F40" w:rsidP="002A3F40">
          <w:pPr>
            <w:pStyle w:val="ECF697849056447AA49A8A9379CE3103"/>
          </w:pPr>
          <w:r w:rsidRPr="00465B88">
            <w:rPr>
              <w:rStyle w:val="PlaceholderText"/>
              <w:rFonts w:ascii="Arial" w:hAnsi="Arial" w:cs="Arial"/>
            </w:rPr>
            <w:t>Click or tap to enter a date.</w:t>
          </w:r>
        </w:p>
      </w:docPartBody>
    </w:docPart>
    <w:docPart>
      <w:docPartPr>
        <w:name w:val="318BFC99CDA64310943E9F4A40FC83DA"/>
        <w:category>
          <w:name w:val="General"/>
          <w:gallery w:val="placeholder"/>
        </w:category>
        <w:types>
          <w:type w:val="bbPlcHdr"/>
        </w:types>
        <w:behaviors>
          <w:behavior w:val="content"/>
        </w:behaviors>
        <w:guid w:val="{DA6F37C2-0728-40C0-A78F-F89F1EFA6782}"/>
      </w:docPartPr>
      <w:docPartBody>
        <w:p w:rsidR="00D14484" w:rsidRDefault="002A3F40" w:rsidP="002A3F40">
          <w:pPr>
            <w:pStyle w:val="318BFC99CDA64310943E9F4A40FC83DA"/>
          </w:pPr>
          <w:r w:rsidRPr="00465B88">
            <w:rPr>
              <w:rStyle w:val="PlaceholderText"/>
              <w:rFonts w:ascii="Arial" w:hAnsi="Arial" w:cs="Arial"/>
            </w:rPr>
            <w:t>Click or tap to enter a date.</w:t>
          </w:r>
        </w:p>
      </w:docPartBody>
    </w:docPart>
    <w:docPart>
      <w:docPartPr>
        <w:name w:val="B04AF10340294CFE869FF74ACBBF5463"/>
        <w:category>
          <w:name w:val="General"/>
          <w:gallery w:val="placeholder"/>
        </w:category>
        <w:types>
          <w:type w:val="bbPlcHdr"/>
        </w:types>
        <w:behaviors>
          <w:behavior w:val="content"/>
        </w:behaviors>
        <w:guid w:val="{3963B479-6169-4869-AD15-DB0818181420}"/>
      </w:docPartPr>
      <w:docPartBody>
        <w:p w:rsidR="00D14484" w:rsidRDefault="002A3F40" w:rsidP="002A3F40">
          <w:pPr>
            <w:pStyle w:val="B04AF10340294CFE869FF74ACBBF5463"/>
          </w:pPr>
          <w:r w:rsidRPr="00465B88">
            <w:rPr>
              <w:rStyle w:val="PlaceholderText"/>
              <w:rFonts w:ascii="Arial" w:hAnsi="Arial" w:cs="Arial"/>
            </w:rPr>
            <w:t>Click or tap here to enter text.</w:t>
          </w:r>
        </w:p>
      </w:docPartBody>
    </w:docPart>
    <w:docPart>
      <w:docPartPr>
        <w:name w:val="790F6515D82341E4914E88AE0D7C0249"/>
        <w:category>
          <w:name w:val="General"/>
          <w:gallery w:val="placeholder"/>
        </w:category>
        <w:types>
          <w:type w:val="bbPlcHdr"/>
        </w:types>
        <w:behaviors>
          <w:behavior w:val="content"/>
        </w:behaviors>
        <w:guid w:val="{1776A506-BB6A-4F8C-A50E-0EB878B0AFFB}"/>
      </w:docPartPr>
      <w:docPartBody>
        <w:p w:rsidR="00D14484" w:rsidRDefault="002A3F40" w:rsidP="002A3F40">
          <w:pPr>
            <w:pStyle w:val="790F6515D82341E4914E88AE0D7C0249"/>
          </w:pPr>
          <w:r w:rsidRPr="00465B88">
            <w:rPr>
              <w:rStyle w:val="PlaceholderText"/>
              <w:rFonts w:ascii="Arial" w:hAnsi="Arial" w:cs="Arial"/>
            </w:rPr>
            <w:t>Click or tap here to enter text.</w:t>
          </w:r>
        </w:p>
      </w:docPartBody>
    </w:docPart>
    <w:docPart>
      <w:docPartPr>
        <w:name w:val="9797AC6A1EC04181A92B19FB89D94124"/>
        <w:category>
          <w:name w:val="General"/>
          <w:gallery w:val="placeholder"/>
        </w:category>
        <w:types>
          <w:type w:val="bbPlcHdr"/>
        </w:types>
        <w:behaviors>
          <w:behavior w:val="content"/>
        </w:behaviors>
        <w:guid w:val="{F6740186-FE3C-4375-AA74-814A2D755687}"/>
      </w:docPartPr>
      <w:docPartBody>
        <w:p w:rsidR="00D14484" w:rsidRDefault="002A3F40" w:rsidP="002A3F40">
          <w:pPr>
            <w:pStyle w:val="9797AC6A1EC04181A92B19FB89D9412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40"/>
    <w:rsid w:val="002A3F40"/>
    <w:rsid w:val="005F646B"/>
    <w:rsid w:val="00D1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F40"/>
    <w:rPr>
      <w:color w:val="3B3838" w:themeColor="background2" w:themeShade="40"/>
    </w:rPr>
  </w:style>
  <w:style w:type="paragraph" w:customStyle="1" w:styleId="7B4A4A5C61B9451CA67EFDABF33AC263">
    <w:name w:val="7B4A4A5C61B9451CA67EFDABF33AC263"/>
    <w:rsid w:val="002A3F40"/>
  </w:style>
  <w:style w:type="paragraph" w:customStyle="1" w:styleId="ECF697849056447AA49A8A9379CE3103">
    <w:name w:val="ECF697849056447AA49A8A9379CE3103"/>
    <w:rsid w:val="002A3F40"/>
  </w:style>
  <w:style w:type="paragraph" w:customStyle="1" w:styleId="318BFC99CDA64310943E9F4A40FC83DA">
    <w:name w:val="318BFC99CDA64310943E9F4A40FC83DA"/>
    <w:rsid w:val="002A3F40"/>
  </w:style>
  <w:style w:type="paragraph" w:customStyle="1" w:styleId="B04AF10340294CFE869FF74ACBBF5463">
    <w:name w:val="B04AF10340294CFE869FF74ACBBF5463"/>
    <w:rsid w:val="002A3F40"/>
  </w:style>
  <w:style w:type="paragraph" w:customStyle="1" w:styleId="790F6515D82341E4914E88AE0D7C0249">
    <w:name w:val="790F6515D82341E4914E88AE0D7C0249"/>
    <w:rsid w:val="002A3F40"/>
  </w:style>
  <w:style w:type="paragraph" w:customStyle="1" w:styleId="9797AC6A1EC04181A92B19FB89D94124">
    <w:name w:val="9797AC6A1EC04181A92B19FB89D94124"/>
    <w:rsid w:val="002A3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2" ma:contentTypeDescription="Create a new document." ma:contentTypeScope="" ma:versionID="4e233b4b8b5cf8e32938987326944ba3">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9fc99082acd4d8639bd10c3fc1c25677"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28E05-AC8E-428A-8DB8-9F5FA8DF3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AF894-EDE1-4CAC-BA38-D7262B906777}">
  <ds:schemaRefs>
    <ds:schemaRef ds:uri="http://schemas.microsoft.com/sharepoint/v3/contenttype/forms"/>
  </ds:schemaRefs>
</ds:datastoreItem>
</file>

<file path=customXml/itemProps3.xml><?xml version="1.0" encoding="utf-8"?>
<ds:datastoreItem xmlns:ds="http://schemas.openxmlformats.org/officeDocument/2006/customXml" ds:itemID="{5CACA0CD-4781-43B9-8F8E-EA00CCA79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Rachel Barrowcliff (CCG)</cp:lastModifiedBy>
  <cp:revision>5</cp:revision>
  <cp:lastPrinted>2019-07-18T14:10:00Z</cp:lastPrinted>
  <dcterms:created xsi:type="dcterms:W3CDTF">2021-10-01T11:37:00Z</dcterms:created>
  <dcterms:modified xsi:type="dcterms:W3CDTF">2021-10-04T16:29:00Z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Order">
    <vt:r8>54800</vt:r8>
  </property>
</Properties>
</file>