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B75" w:rsidRPr="00E73B61" w:rsidRDefault="00E9066B" w:rsidP="00D45509">
      <w:pPr>
        <w:rPr>
          <w:noProof/>
          <w:lang w:eastAsia="en-GB"/>
        </w:rPr>
      </w:pPr>
      <w:bookmarkStart w:id="0" w:name="_GoBack"/>
      <w:bookmarkEnd w:id="0"/>
      <w:r>
        <w:rPr>
          <w:rFonts w:ascii="Arial" w:hAnsi="Arial" w:cs="Arial"/>
          <w:b/>
          <w:noProof/>
          <w:color w:val="FF0000"/>
          <w:szCs w:val="24"/>
          <w:lang w:eastAsia="en-GB"/>
        </w:rPr>
        <w:drawing>
          <wp:inline distT="0" distB="0" distL="0" distR="0" wp14:anchorId="0901B0F8" wp14:editId="20EECC86">
            <wp:extent cx="1511928" cy="1408842"/>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3290" cy="1410111"/>
                    </a:xfrm>
                    <a:prstGeom prst="rect">
                      <a:avLst/>
                    </a:prstGeom>
                    <a:noFill/>
                  </pic:spPr>
                </pic:pic>
              </a:graphicData>
            </a:graphic>
          </wp:inline>
        </w:drawing>
      </w:r>
      <w:r w:rsidR="003D7845" w:rsidRPr="003D7845">
        <w:t xml:space="preserve"> </w:t>
      </w:r>
      <w:r w:rsidR="00D45509">
        <w:rPr>
          <w:noProof/>
          <w:lang w:eastAsia="en-GB"/>
        </w:rPr>
        <w:t xml:space="preserve">  </w:t>
      </w:r>
      <w:r w:rsidR="00D45509">
        <w:rPr>
          <w:noProof/>
          <w:lang w:eastAsia="en-GB"/>
        </w:rPr>
        <w:tab/>
      </w:r>
      <w:r w:rsidR="00D45509">
        <w:rPr>
          <w:noProof/>
          <w:lang w:eastAsia="en-GB"/>
        </w:rPr>
        <w:tab/>
      </w:r>
      <w:r w:rsidR="00D45509">
        <w:rPr>
          <w:noProof/>
          <w:lang w:eastAsia="en-GB"/>
        </w:rPr>
        <w:tab/>
      </w:r>
      <w:r w:rsidR="00D45509">
        <w:rPr>
          <w:noProof/>
          <w:lang w:eastAsia="en-GB"/>
        </w:rPr>
        <w:tab/>
      </w:r>
      <w:r w:rsidR="00D45509">
        <w:rPr>
          <w:noProof/>
          <w:lang w:eastAsia="en-GB"/>
        </w:rPr>
        <w:tab/>
      </w:r>
      <w:r w:rsidR="00D45509">
        <w:rPr>
          <w:noProof/>
          <w:lang w:eastAsia="en-GB"/>
        </w:rPr>
        <w:tab/>
      </w:r>
      <w:r w:rsidR="00D45509">
        <w:rPr>
          <w:noProof/>
          <w:lang w:eastAsia="en-GB"/>
        </w:rPr>
        <w:tab/>
      </w:r>
      <w:r w:rsidR="00D45509">
        <w:rPr>
          <w:noProof/>
          <w:lang w:eastAsia="en-GB"/>
        </w:rPr>
        <w:tab/>
      </w:r>
      <w:r w:rsidR="00D45509">
        <w:rPr>
          <w:noProof/>
          <w:lang w:eastAsia="en-GB"/>
        </w:rPr>
        <w:drawing>
          <wp:inline distT="0" distB="0" distL="0" distR="0" wp14:anchorId="0428ED87" wp14:editId="312CF40A">
            <wp:extent cx="1644015" cy="7239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24696" t="16959" r="6470" b="27486"/>
                    <a:stretch>
                      <a:fillRect/>
                    </a:stretch>
                  </pic:blipFill>
                  <pic:spPr bwMode="auto">
                    <a:xfrm>
                      <a:off x="0" y="0"/>
                      <a:ext cx="1644015" cy="723900"/>
                    </a:xfrm>
                    <a:prstGeom prst="rect">
                      <a:avLst/>
                    </a:prstGeom>
                    <a:noFill/>
                    <a:ln>
                      <a:noFill/>
                    </a:ln>
                  </pic:spPr>
                </pic:pic>
              </a:graphicData>
            </a:graphic>
          </wp:inline>
        </w:drawing>
      </w:r>
    </w:p>
    <w:p w:rsidR="00D45509" w:rsidRDefault="00D45509" w:rsidP="00D3211A">
      <w:pPr>
        <w:pStyle w:val="Default"/>
        <w:jc w:val="both"/>
        <w:rPr>
          <w:rFonts w:ascii="Calibri" w:hAnsi="Calibri" w:cs="Calibri"/>
          <w:b/>
          <w:color w:val="FF0000"/>
          <w:sz w:val="20"/>
          <w:szCs w:val="20"/>
        </w:rPr>
      </w:pPr>
    </w:p>
    <w:p w:rsidR="00D37F53" w:rsidRDefault="00D37F53" w:rsidP="00F66AB7">
      <w:pPr>
        <w:pStyle w:val="Default"/>
        <w:jc w:val="center"/>
        <w:rPr>
          <w:rFonts w:ascii="Calibri" w:hAnsi="Calibri" w:cs="Calibri"/>
          <w:b/>
          <w:color w:val="auto"/>
          <w:sz w:val="36"/>
          <w:szCs w:val="20"/>
        </w:rPr>
      </w:pPr>
      <w:r>
        <w:rPr>
          <w:rFonts w:ascii="Calibri" w:hAnsi="Calibri" w:cs="Calibri"/>
          <w:b/>
          <w:color w:val="auto"/>
          <w:sz w:val="36"/>
          <w:szCs w:val="20"/>
        </w:rPr>
        <w:t>UNION BOARD</w:t>
      </w:r>
    </w:p>
    <w:p w:rsidR="00E94B5E" w:rsidRDefault="00E94B5E" w:rsidP="00F66AB7">
      <w:pPr>
        <w:pStyle w:val="Default"/>
        <w:jc w:val="center"/>
        <w:rPr>
          <w:rFonts w:ascii="Calibri" w:hAnsi="Calibri" w:cs="Calibri"/>
          <w:b/>
          <w:color w:val="auto"/>
          <w:sz w:val="36"/>
          <w:szCs w:val="20"/>
        </w:rPr>
      </w:pPr>
      <w:r>
        <w:rPr>
          <w:rFonts w:ascii="Calibri" w:hAnsi="Calibri" w:cs="Calibri"/>
          <w:b/>
          <w:color w:val="auto"/>
          <w:sz w:val="36"/>
          <w:szCs w:val="20"/>
        </w:rPr>
        <w:t>BRIEFING NOTE</w:t>
      </w:r>
    </w:p>
    <w:p w:rsidR="00F66AB7" w:rsidRPr="00D45509" w:rsidRDefault="00F66AB7" w:rsidP="00D3211A">
      <w:pPr>
        <w:pStyle w:val="Default"/>
        <w:jc w:val="both"/>
        <w:rPr>
          <w:rFonts w:ascii="Calibri" w:hAnsi="Calibri" w:cs="Calibri"/>
          <w:b/>
          <w:color w:val="auto"/>
          <w:sz w:val="36"/>
          <w:szCs w:val="20"/>
        </w:rPr>
      </w:pPr>
    </w:p>
    <w:p w:rsidR="00D45509" w:rsidRPr="00524146" w:rsidRDefault="00D45509" w:rsidP="00D3211A">
      <w:pPr>
        <w:pStyle w:val="Default"/>
        <w:jc w:val="both"/>
        <w:rPr>
          <w:b/>
          <w:color w:val="FF0000"/>
        </w:rPr>
      </w:pPr>
      <w:r>
        <w:rPr>
          <w:noProof/>
        </w:rPr>
        <mc:AlternateContent>
          <mc:Choice Requires="wps">
            <w:drawing>
              <wp:anchor distT="0" distB="0" distL="114300" distR="114300" simplePos="0" relativeHeight="251658752" behindDoc="0" locked="0" layoutInCell="1" allowOverlap="1" wp14:anchorId="22C4E554" wp14:editId="769E7FEF">
                <wp:simplePos x="0" y="0"/>
                <wp:positionH relativeFrom="column">
                  <wp:posOffset>-33655</wp:posOffset>
                </wp:positionH>
                <wp:positionV relativeFrom="paragraph">
                  <wp:posOffset>88265</wp:posOffset>
                </wp:positionV>
                <wp:extent cx="2042160" cy="297180"/>
                <wp:effectExtent l="0" t="0" r="15240" b="26670"/>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2160" cy="297180"/>
                        </a:xfrm>
                        <a:prstGeom prst="rect">
                          <a:avLst/>
                        </a:prstGeom>
                        <a:solidFill>
                          <a:srgbClr val="FFFFFF"/>
                        </a:solidFill>
                        <a:ln w="9525">
                          <a:solidFill>
                            <a:srgbClr val="000000"/>
                          </a:solidFill>
                          <a:miter lim="800000"/>
                          <a:headEnd/>
                          <a:tailEnd/>
                        </a:ln>
                      </wps:spPr>
                      <wps:txbx>
                        <w:txbxContent>
                          <w:p w:rsidR="007C526F" w:rsidRPr="0059121B" w:rsidRDefault="007C526F">
                            <w:pPr>
                              <w:rPr>
                                <w:rFonts w:ascii="Arial" w:hAnsi="Arial" w:cs="Arial"/>
                                <w:b/>
                                <w:i/>
                                <w:szCs w:val="24"/>
                              </w:rPr>
                            </w:pPr>
                            <w:r w:rsidRPr="00524146">
                              <w:rPr>
                                <w:rFonts w:ascii="Arial" w:hAnsi="Arial" w:cs="Arial"/>
                                <w:b/>
                                <w:szCs w:val="24"/>
                              </w:rPr>
                              <w:t>Agenda Item</w:t>
                            </w:r>
                            <w:r w:rsidR="009C70D2">
                              <w:rPr>
                                <w:rFonts w:ascii="Arial" w:hAnsi="Arial" w:cs="Arial"/>
                                <w:b/>
                                <w:szCs w:val="24"/>
                              </w:rPr>
                              <w:t xml:space="preserve"> 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C4E554" id="Rectangle 17" o:spid="_x0000_s1026" style="position:absolute;left:0;text-align:left;margin-left:-2.65pt;margin-top:6.95pt;width:160.8pt;height:2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">
                <v:textbox>
                  <w:txbxContent>
                    <w:p w:rsidR="007C526F" w:rsidRPr="0059121B" w:rsidRDefault="007C526F">
                      <w:pPr>
                        <w:rPr>
                          <w:rFonts w:ascii="Arial" w:hAnsi="Arial" w:cs="Arial"/>
                          <w:b/>
                          <w:i/>
                          <w:szCs w:val="24"/>
                        </w:rPr>
                      </w:pPr>
                      <w:r w:rsidRPr="00524146">
                        <w:rPr>
                          <w:rFonts w:ascii="Arial" w:hAnsi="Arial" w:cs="Arial"/>
                          <w:b/>
                          <w:szCs w:val="24"/>
                        </w:rPr>
                        <w:t>Agenda Item</w:t>
                      </w:r>
                      <w:r w:rsidR="009C70D2">
                        <w:rPr>
                          <w:rFonts w:ascii="Arial" w:hAnsi="Arial" w:cs="Arial"/>
                          <w:b/>
                          <w:szCs w:val="24"/>
                        </w:rPr>
                        <w:t xml:space="preserve"> 04</w:t>
                      </w:r>
                    </w:p>
                  </w:txbxContent>
                </v:textbox>
              </v:rect>
            </w:pict>
          </mc:Fallback>
        </mc:AlternateContent>
      </w:r>
    </w:p>
    <w:p w:rsidR="00D45509" w:rsidRPr="00524146" w:rsidRDefault="00D45509" w:rsidP="00D3211A">
      <w:pPr>
        <w:pStyle w:val="Default"/>
        <w:jc w:val="both"/>
        <w:rPr>
          <w:b/>
          <w:color w:val="FF0000"/>
        </w:rPr>
      </w:pPr>
    </w:p>
    <w:p w:rsidR="00D45509" w:rsidRPr="00524146" w:rsidRDefault="00D45509" w:rsidP="00D3211A">
      <w:pPr>
        <w:pStyle w:val="Default"/>
        <w:jc w:val="both"/>
        <w:rPr>
          <w:b/>
          <w:color w:val="FF0000"/>
        </w:rPr>
      </w:pPr>
    </w:p>
    <w:p w:rsidR="00340568" w:rsidRDefault="00340568" w:rsidP="00D3211A">
      <w:pPr>
        <w:pStyle w:val="Default"/>
        <w:jc w:val="both"/>
      </w:pPr>
    </w:p>
    <w:p w:rsidR="00136B75" w:rsidRPr="00524146" w:rsidRDefault="00E402F3" w:rsidP="00D3211A">
      <w:pPr>
        <w:pStyle w:val="Default"/>
        <w:jc w:val="both"/>
      </w:pPr>
      <w:r w:rsidRPr="00524146">
        <w:rPr>
          <w:noProof/>
        </w:rPr>
        <mc:AlternateContent>
          <mc:Choice Requires="wps">
            <w:drawing>
              <wp:anchor distT="0" distB="0" distL="114300" distR="114300" simplePos="0" relativeHeight="251656704" behindDoc="0" locked="0" layoutInCell="1" allowOverlap="1" wp14:anchorId="399EEB69" wp14:editId="20B9F117">
                <wp:simplePos x="0" y="0"/>
                <wp:positionH relativeFrom="column">
                  <wp:posOffset>-70485</wp:posOffset>
                </wp:positionH>
                <wp:positionV relativeFrom="paragraph">
                  <wp:posOffset>4445</wp:posOffset>
                </wp:positionV>
                <wp:extent cx="6911340" cy="1005840"/>
                <wp:effectExtent l="19050" t="19050" r="22860" b="2286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1340" cy="1005840"/>
                        </a:xfrm>
                        <a:prstGeom prst="rect">
                          <a:avLst/>
                        </a:prstGeom>
                        <a:solidFill>
                          <a:srgbClr val="FFFFFF"/>
                        </a:solidFill>
                        <a:ln w="38100" cmpd="dbl">
                          <a:solidFill>
                            <a:srgbClr val="000000"/>
                          </a:solidFill>
                          <a:miter lim="800000"/>
                          <a:headEnd/>
                          <a:tailEnd/>
                        </a:ln>
                      </wps:spPr>
                      <wps:txbx>
                        <w:txbxContent>
                          <w:p w:rsidR="00136B75" w:rsidRPr="00524146" w:rsidRDefault="00136B75">
                            <w:pPr>
                              <w:rPr>
                                <w:rFonts w:ascii="Arial" w:hAnsi="Arial" w:cs="Arial"/>
                                <w:szCs w:val="24"/>
                              </w:rPr>
                            </w:pPr>
                            <w:r w:rsidRPr="00524146">
                              <w:rPr>
                                <w:rFonts w:ascii="Arial" w:hAnsi="Arial" w:cs="Arial"/>
                                <w:szCs w:val="24"/>
                              </w:rPr>
                              <w:t>Date of Meeting:</w:t>
                            </w:r>
                            <w:r w:rsidR="00DB16C5" w:rsidRPr="00524146">
                              <w:rPr>
                                <w:rFonts w:ascii="Arial" w:hAnsi="Arial" w:cs="Arial"/>
                                <w:szCs w:val="24"/>
                              </w:rPr>
                              <w:t xml:space="preserve"> </w:t>
                            </w:r>
                            <w:r w:rsidR="0059121B">
                              <w:rPr>
                                <w:rFonts w:ascii="Arial" w:hAnsi="Arial" w:cs="Arial"/>
                                <w:szCs w:val="24"/>
                              </w:rPr>
                              <w:tab/>
                            </w:r>
                            <w:r w:rsidR="00D37F53">
                              <w:rPr>
                                <w:rFonts w:ascii="Arial" w:hAnsi="Arial" w:cs="Arial"/>
                                <w:szCs w:val="24"/>
                              </w:rPr>
                              <w:t>20</w:t>
                            </w:r>
                            <w:r w:rsidR="00D37F53" w:rsidRPr="0059121B">
                              <w:rPr>
                                <w:rFonts w:ascii="Arial" w:hAnsi="Arial" w:cs="Arial"/>
                                <w:szCs w:val="24"/>
                                <w:vertAlign w:val="superscript"/>
                              </w:rPr>
                              <w:t>th</w:t>
                            </w:r>
                            <w:r w:rsidR="00D37F53">
                              <w:rPr>
                                <w:rFonts w:ascii="Arial" w:hAnsi="Arial" w:cs="Arial"/>
                                <w:szCs w:val="24"/>
                              </w:rPr>
                              <w:t xml:space="preserve"> November 2018</w:t>
                            </w:r>
                          </w:p>
                          <w:p w:rsidR="00136B75" w:rsidRPr="00524146" w:rsidRDefault="00136B75">
                            <w:pPr>
                              <w:rPr>
                                <w:rFonts w:ascii="Arial" w:hAnsi="Arial" w:cs="Arial"/>
                                <w:szCs w:val="24"/>
                              </w:rPr>
                            </w:pPr>
                          </w:p>
                          <w:p w:rsidR="00136B75" w:rsidRPr="00524146" w:rsidRDefault="00136B75">
                            <w:pPr>
                              <w:rPr>
                                <w:rFonts w:ascii="Arial" w:hAnsi="Arial" w:cs="Arial"/>
                                <w:szCs w:val="24"/>
                              </w:rPr>
                            </w:pPr>
                            <w:r w:rsidRPr="00524146">
                              <w:rPr>
                                <w:rFonts w:ascii="Arial" w:hAnsi="Arial" w:cs="Arial"/>
                                <w:szCs w:val="24"/>
                              </w:rPr>
                              <w:t>Subject:</w:t>
                            </w:r>
                            <w:r w:rsidR="00D64ABD" w:rsidRPr="00524146">
                              <w:rPr>
                                <w:rFonts w:ascii="Arial" w:hAnsi="Arial" w:cs="Arial"/>
                                <w:szCs w:val="24"/>
                              </w:rPr>
                              <w:t xml:space="preserve"> </w:t>
                            </w:r>
                            <w:r w:rsidR="0059121B">
                              <w:rPr>
                                <w:rFonts w:ascii="Arial" w:hAnsi="Arial" w:cs="Arial"/>
                                <w:szCs w:val="24"/>
                              </w:rPr>
                              <w:tab/>
                            </w:r>
                            <w:r w:rsidR="0059121B">
                              <w:rPr>
                                <w:rFonts w:ascii="Arial" w:hAnsi="Arial" w:cs="Arial"/>
                                <w:szCs w:val="24"/>
                              </w:rPr>
                              <w:tab/>
                            </w:r>
                            <w:r w:rsidR="00B84753">
                              <w:rPr>
                                <w:rFonts w:ascii="Arial" w:hAnsi="Arial" w:cs="Arial"/>
                                <w:szCs w:val="24"/>
                              </w:rPr>
                              <w:t>S75 Agreement and Terms of Reference</w:t>
                            </w:r>
                          </w:p>
                          <w:p w:rsidR="00136B75" w:rsidRPr="00524146" w:rsidRDefault="00136B75">
                            <w:pPr>
                              <w:rPr>
                                <w:rFonts w:ascii="Arial" w:hAnsi="Arial" w:cs="Arial"/>
                                <w:szCs w:val="24"/>
                              </w:rPr>
                            </w:pPr>
                          </w:p>
                          <w:p w:rsidR="00136B75" w:rsidRPr="000D1B0D" w:rsidRDefault="00136B75">
                            <w:pPr>
                              <w:rPr>
                                <w:rFonts w:ascii="Calibri" w:hAnsi="Calibri"/>
                                <w:sz w:val="22"/>
                                <w:szCs w:val="22"/>
                              </w:rPr>
                            </w:pPr>
                            <w:r w:rsidRPr="00524146">
                              <w:rPr>
                                <w:rFonts w:ascii="Arial" w:hAnsi="Arial" w:cs="Arial"/>
                                <w:szCs w:val="24"/>
                              </w:rPr>
                              <w:t>Presented by:</w:t>
                            </w:r>
                            <w:r w:rsidR="00DB16C5" w:rsidRPr="00524146">
                              <w:rPr>
                                <w:rFonts w:ascii="Arial" w:hAnsi="Arial" w:cs="Arial"/>
                                <w:szCs w:val="24"/>
                              </w:rPr>
                              <w:t xml:space="preserve"> </w:t>
                            </w:r>
                            <w:r w:rsidR="00D37F53">
                              <w:rPr>
                                <w:rFonts w:ascii="Arial" w:hAnsi="Arial" w:cs="Arial"/>
                                <w:szCs w:val="24"/>
                              </w:rPr>
                              <w:t xml:space="preserve"> </w:t>
                            </w:r>
                            <w:r w:rsidR="00C149A1">
                              <w:rPr>
                                <w:rFonts w:ascii="Arial" w:hAnsi="Arial" w:cs="Arial"/>
                                <w:szCs w:val="24"/>
                              </w:rPr>
                              <w:tab/>
                              <w:t>Laura Whitton</w:t>
                            </w:r>
                            <w:r w:rsidR="004658BE">
                              <w:rPr>
                                <w:rFonts w:ascii="Arial" w:hAnsi="Arial" w:cs="Arial"/>
                                <w:szCs w:val="24"/>
                              </w:rPr>
                              <w:t>, NEL CCG and Simon Jones, NELC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EEB69" id="Rectangle 11" o:spid="_x0000_s1027" style="position:absolute;left:0;text-align:left;margin-left:-5.55pt;margin-top:.35pt;width:544.2pt;height:79.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" strokeweight="3pt">
                <v:stroke linestyle="thinThin"/>
                <v:textbox>
                  <w:txbxContent>
                    <w:p w:rsidR="00136B75" w:rsidRPr="00524146" w:rsidRDefault="00136B75">
                      <w:pPr>
                        <w:rPr>
                          <w:rFonts w:ascii="Arial" w:hAnsi="Arial" w:cs="Arial"/>
                          <w:szCs w:val="24"/>
                        </w:rPr>
                      </w:pPr>
                      <w:r w:rsidRPr="00524146">
                        <w:rPr>
                          <w:rFonts w:ascii="Arial" w:hAnsi="Arial" w:cs="Arial"/>
                          <w:szCs w:val="24"/>
                        </w:rPr>
                        <w:t>Date of Meeting:</w:t>
                      </w:r>
                      <w:r w:rsidR="00DB16C5" w:rsidRPr="00524146">
                        <w:rPr>
                          <w:rFonts w:ascii="Arial" w:hAnsi="Arial" w:cs="Arial"/>
                          <w:szCs w:val="24"/>
                        </w:rPr>
                        <w:t xml:space="preserve"> </w:t>
                      </w:r>
                      <w:r w:rsidR="0059121B">
                        <w:rPr>
                          <w:rFonts w:ascii="Arial" w:hAnsi="Arial" w:cs="Arial"/>
                          <w:szCs w:val="24"/>
                        </w:rPr>
                        <w:tab/>
                      </w:r>
                      <w:r w:rsidR="00D37F53">
                        <w:rPr>
                          <w:rFonts w:ascii="Arial" w:hAnsi="Arial" w:cs="Arial"/>
                          <w:szCs w:val="24"/>
                        </w:rPr>
                        <w:t>20</w:t>
                      </w:r>
                      <w:r w:rsidR="00D37F53" w:rsidRPr="0059121B">
                        <w:rPr>
                          <w:rFonts w:ascii="Arial" w:hAnsi="Arial" w:cs="Arial"/>
                          <w:szCs w:val="24"/>
                          <w:vertAlign w:val="superscript"/>
                        </w:rPr>
                        <w:t>th</w:t>
                      </w:r>
                      <w:r w:rsidR="00D37F53">
                        <w:rPr>
                          <w:rFonts w:ascii="Arial" w:hAnsi="Arial" w:cs="Arial"/>
                          <w:szCs w:val="24"/>
                        </w:rPr>
                        <w:t xml:space="preserve"> November 2018</w:t>
                      </w:r>
                    </w:p>
                    <w:p w:rsidR="00136B75" w:rsidRPr="00524146" w:rsidRDefault="00136B75">
                      <w:pPr>
                        <w:rPr>
                          <w:rFonts w:ascii="Arial" w:hAnsi="Arial" w:cs="Arial"/>
                          <w:szCs w:val="24"/>
                        </w:rPr>
                      </w:pPr>
                    </w:p>
                    <w:p w:rsidR="00136B75" w:rsidRPr="00524146" w:rsidRDefault="00136B75">
                      <w:pPr>
                        <w:rPr>
                          <w:rFonts w:ascii="Arial" w:hAnsi="Arial" w:cs="Arial"/>
                          <w:szCs w:val="24"/>
                        </w:rPr>
                      </w:pPr>
                      <w:r w:rsidRPr="00524146">
                        <w:rPr>
                          <w:rFonts w:ascii="Arial" w:hAnsi="Arial" w:cs="Arial"/>
                          <w:szCs w:val="24"/>
                        </w:rPr>
                        <w:t>Subject:</w:t>
                      </w:r>
                      <w:r w:rsidR="00D64ABD" w:rsidRPr="00524146">
                        <w:rPr>
                          <w:rFonts w:ascii="Arial" w:hAnsi="Arial" w:cs="Arial"/>
                          <w:szCs w:val="24"/>
                        </w:rPr>
                        <w:t xml:space="preserve"> </w:t>
                      </w:r>
                      <w:r w:rsidR="0059121B">
                        <w:rPr>
                          <w:rFonts w:ascii="Arial" w:hAnsi="Arial" w:cs="Arial"/>
                          <w:szCs w:val="24"/>
                        </w:rPr>
                        <w:tab/>
                      </w:r>
                      <w:r w:rsidR="0059121B">
                        <w:rPr>
                          <w:rFonts w:ascii="Arial" w:hAnsi="Arial" w:cs="Arial"/>
                          <w:szCs w:val="24"/>
                        </w:rPr>
                        <w:tab/>
                      </w:r>
                      <w:r w:rsidR="00B84753">
                        <w:rPr>
                          <w:rFonts w:ascii="Arial" w:hAnsi="Arial" w:cs="Arial"/>
                          <w:szCs w:val="24"/>
                        </w:rPr>
                        <w:t>S75 Agreement and Terms of Reference</w:t>
                      </w:r>
                    </w:p>
                    <w:p w:rsidR="00136B75" w:rsidRPr="00524146" w:rsidRDefault="00136B75">
                      <w:pPr>
                        <w:rPr>
                          <w:rFonts w:ascii="Arial" w:hAnsi="Arial" w:cs="Arial"/>
                          <w:szCs w:val="24"/>
                        </w:rPr>
                      </w:pPr>
                    </w:p>
                    <w:p w:rsidR="00136B75" w:rsidRPr="000D1B0D" w:rsidRDefault="00136B75">
                      <w:pPr>
                        <w:rPr>
                          <w:rFonts w:ascii="Calibri" w:hAnsi="Calibri"/>
                          <w:sz w:val="22"/>
                          <w:szCs w:val="22"/>
                        </w:rPr>
                      </w:pPr>
                      <w:r w:rsidRPr="00524146">
                        <w:rPr>
                          <w:rFonts w:ascii="Arial" w:hAnsi="Arial" w:cs="Arial"/>
                          <w:szCs w:val="24"/>
                        </w:rPr>
                        <w:t>Presented by:</w:t>
                      </w:r>
                      <w:r w:rsidR="00DB16C5" w:rsidRPr="00524146">
                        <w:rPr>
                          <w:rFonts w:ascii="Arial" w:hAnsi="Arial" w:cs="Arial"/>
                          <w:szCs w:val="24"/>
                        </w:rPr>
                        <w:t xml:space="preserve"> </w:t>
                      </w:r>
                      <w:r w:rsidR="00D37F53">
                        <w:rPr>
                          <w:rFonts w:ascii="Arial" w:hAnsi="Arial" w:cs="Arial"/>
                          <w:szCs w:val="24"/>
                        </w:rPr>
                        <w:t xml:space="preserve"> </w:t>
                      </w:r>
                      <w:r w:rsidR="00C149A1">
                        <w:rPr>
                          <w:rFonts w:ascii="Arial" w:hAnsi="Arial" w:cs="Arial"/>
                          <w:szCs w:val="24"/>
                        </w:rPr>
                        <w:tab/>
                        <w:t>Laura Whitton</w:t>
                      </w:r>
                      <w:r w:rsidR="004658BE">
                        <w:rPr>
                          <w:rFonts w:ascii="Arial" w:hAnsi="Arial" w:cs="Arial"/>
                          <w:szCs w:val="24"/>
                        </w:rPr>
                        <w:t>, NEL CCG and Simon Jones, NELC</w:t>
                      </w:r>
                    </w:p>
                  </w:txbxContent>
                </v:textbox>
              </v:rect>
            </w:pict>
          </mc:Fallback>
        </mc:AlternateContent>
      </w:r>
    </w:p>
    <w:p w:rsidR="00136B75" w:rsidRPr="00524146" w:rsidRDefault="00136B75" w:rsidP="00D3211A">
      <w:pPr>
        <w:pStyle w:val="Default"/>
        <w:jc w:val="both"/>
      </w:pPr>
    </w:p>
    <w:p w:rsidR="00136B75" w:rsidRPr="00524146" w:rsidRDefault="00136B75" w:rsidP="00D3211A">
      <w:pPr>
        <w:pStyle w:val="Default"/>
        <w:jc w:val="both"/>
      </w:pPr>
    </w:p>
    <w:p w:rsidR="00136B75" w:rsidRPr="00524146" w:rsidRDefault="00136B75" w:rsidP="00D3211A">
      <w:pPr>
        <w:pStyle w:val="Default"/>
        <w:jc w:val="both"/>
      </w:pPr>
    </w:p>
    <w:p w:rsidR="00136B75" w:rsidRPr="00524146" w:rsidRDefault="00136B75" w:rsidP="00D3211A">
      <w:pPr>
        <w:pStyle w:val="Default"/>
        <w:jc w:val="both"/>
      </w:pPr>
    </w:p>
    <w:p w:rsidR="00136B75" w:rsidRPr="00524146" w:rsidRDefault="00136B75" w:rsidP="00D3211A">
      <w:pPr>
        <w:pStyle w:val="Default"/>
        <w:jc w:val="both"/>
      </w:pPr>
    </w:p>
    <w:p w:rsidR="00136B75" w:rsidRPr="00524146" w:rsidRDefault="00136B75" w:rsidP="00D3211A">
      <w:pPr>
        <w:pStyle w:val="Default"/>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5"/>
        <w:gridCol w:w="8211"/>
      </w:tblGrid>
      <w:tr w:rsidR="009D4EDC" w:rsidRPr="00524146" w:rsidTr="00144ED4">
        <w:tc>
          <w:tcPr>
            <w:tcW w:w="1183" w:type="pct"/>
            <w:tcBorders>
              <w:bottom w:val="single" w:sz="4" w:space="0" w:color="auto"/>
            </w:tcBorders>
            <w:shd w:val="clear" w:color="auto" w:fill="auto"/>
          </w:tcPr>
          <w:p w:rsidR="009D4EDC" w:rsidRPr="00524146" w:rsidRDefault="00E5459C" w:rsidP="009D4EDC">
            <w:pPr>
              <w:rPr>
                <w:rFonts w:ascii="Arial" w:hAnsi="Arial" w:cs="Arial"/>
                <w:b/>
                <w:szCs w:val="24"/>
              </w:rPr>
            </w:pPr>
            <w:r>
              <w:rPr>
                <w:rFonts w:ascii="Arial" w:hAnsi="Arial" w:cs="Arial"/>
                <w:b/>
                <w:szCs w:val="24"/>
              </w:rPr>
              <w:t>Purpose of the report</w:t>
            </w:r>
            <w:r w:rsidR="009D4EDC" w:rsidRPr="00524146">
              <w:rPr>
                <w:rFonts w:ascii="Arial" w:hAnsi="Arial" w:cs="Arial"/>
                <w:b/>
                <w:szCs w:val="24"/>
              </w:rPr>
              <w:t>:</w:t>
            </w:r>
          </w:p>
          <w:p w:rsidR="009D4EDC" w:rsidRPr="00524146" w:rsidRDefault="009D4EDC" w:rsidP="00FD60E0">
            <w:pPr>
              <w:pStyle w:val="NoSpacing"/>
              <w:rPr>
                <w:b/>
              </w:rPr>
            </w:pPr>
          </w:p>
        </w:tc>
        <w:tc>
          <w:tcPr>
            <w:tcW w:w="3817" w:type="pct"/>
            <w:shd w:val="clear" w:color="auto" w:fill="auto"/>
          </w:tcPr>
          <w:p w:rsidR="00FD60E0" w:rsidRPr="00524146" w:rsidRDefault="00D64ABD" w:rsidP="000D1B0D">
            <w:pPr>
              <w:pStyle w:val="Default"/>
              <w:jc w:val="both"/>
            </w:pPr>
            <w:r w:rsidRPr="00524146">
              <w:t xml:space="preserve">To provide </w:t>
            </w:r>
            <w:r w:rsidR="00B34C20">
              <w:t xml:space="preserve">an update on the governance arrangements </w:t>
            </w:r>
            <w:r w:rsidR="0059121B">
              <w:t xml:space="preserve">for </w:t>
            </w:r>
            <w:r w:rsidR="00B34C20">
              <w:t xml:space="preserve">the </w:t>
            </w:r>
            <w:r w:rsidR="0059121B">
              <w:t>“</w:t>
            </w:r>
            <w:r w:rsidR="00B34C20">
              <w:t>Union</w:t>
            </w:r>
            <w:r w:rsidR="0059121B">
              <w:t>”</w:t>
            </w:r>
            <w:r w:rsidR="00B34C20">
              <w:t xml:space="preserve"> </w:t>
            </w:r>
            <w:r w:rsidR="0059121B">
              <w:t xml:space="preserve">in particular in relation to </w:t>
            </w:r>
            <w:r w:rsidR="00B34C20">
              <w:t xml:space="preserve">the </w:t>
            </w:r>
            <w:r w:rsidR="0059121B">
              <w:t xml:space="preserve">refresh of the existing </w:t>
            </w:r>
            <w:r w:rsidR="00B34C20">
              <w:t>S</w:t>
            </w:r>
            <w:r w:rsidR="00FD60E0">
              <w:t xml:space="preserve">ection </w:t>
            </w:r>
            <w:r w:rsidR="00B34C20">
              <w:t>75</w:t>
            </w:r>
            <w:r w:rsidR="00C149A1">
              <w:t xml:space="preserve"> </w:t>
            </w:r>
            <w:r w:rsidR="0059121B">
              <w:t>Agreement</w:t>
            </w:r>
            <w:r w:rsidR="00C149A1">
              <w:t xml:space="preserve"> </w:t>
            </w:r>
            <w:r w:rsidR="00FD60E0">
              <w:t>.</w:t>
            </w:r>
          </w:p>
          <w:p w:rsidR="002054A0" w:rsidRPr="00524146" w:rsidRDefault="002054A0" w:rsidP="000D1B0D">
            <w:pPr>
              <w:pStyle w:val="Default"/>
              <w:jc w:val="both"/>
            </w:pPr>
          </w:p>
        </w:tc>
      </w:tr>
      <w:tr w:rsidR="00E5459C" w:rsidRPr="00524146" w:rsidTr="00E5459C">
        <w:tc>
          <w:tcPr>
            <w:tcW w:w="1183" w:type="pct"/>
            <w:tcBorders>
              <w:bottom w:val="single" w:sz="4" w:space="0" w:color="auto"/>
            </w:tcBorders>
            <w:shd w:val="clear" w:color="auto" w:fill="auto"/>
          </w:tcPr>
          <w:p w:rsidR="00E5459C" w:rsidRDefault="00E94B5E" w:rsidP="009D4EDC">
            <w:pPr>
              <w:rPr>
                <w:rFonts w:ascii="Arial" w:hAnsi="Arial" w:cs="Arial"/>
                <w:b/>
                <w:szCs w:val="24"/>
              </w:rPr>
            </w:pPr>
            <w:r>
              <w:rPr>
                <w:rFonts w:ascii="Arial" w:hAnsi="Arial" w:cs="Arial"/>
                <w:b/>
                <w:szCs w:val="24"/>
              </w:rPr>
              <w:t xml:space="preserve">Scope and </w:t>
            </w:r>
            <w:r w:rsidR="00E5459C">
              <w:rPr>
                <w:rFonts w:ascii="Arial" w:hAnsi="Arial" w:cs="Arial"/>
                <w:b/>
                <w:szCs w:val="24"/>
              </w:rPr>
              <w:t>Context:</w:t>
            </w:r>
          </w:p>
          <w:p w:rsidR="00E5459C" w:rsidRDefault="00E5459C" w:rsidP="009D4EDC">
            <w:pPr>
              <w:rPr>
                <w:rFonts w:ascii="Arial" w:hAnsi="Arial" w:cs="Arial"/>
                <w:b/>
                <w:szCs w:val="24"/>
              </w:rPr>
            </w:pPr>
          </w:p>
          <w:p w:rsidR="00E5459C" w:rsidRDefault="00E5459C" w:rsidP="009D4EDC">
            <w:pPr>
              <w:rPr>
                <w:rFonts w:ascii="Arial" w:hAnsi="Arial" w:cs="Arial"/>
                <w:b/>
                <w:szCs w:val="24"/>
              </w:rPr>
            </w:pPr>
          </w:p>
          <w:p w:rsidR="00E5459C" w:rsidRDefault="00E5459C" w:rsidP="009D4EDC">
            <w:pPr>
              <w:rPr>
                <w:rFonts w:ascii="Arial" w:hAnsi="Arial" w:cs="Arial"/>
                <w:b/>
                <w:szCs w:val="24"/>
              </w:rPr>
            </w:pPr>
          </w:p>
          <w:p w:rsidR="00E5459C" w:rsidRDefault="00E5459C" w:rsidP="009D4EDC">
            <w:pPr>
              <w:rPr>
                <w:rFonts w:ascii="Arial" w:hAnsi="Arial" w:cs="Arial"/>
                <w:b/>
                <w:szCs w:val="24"/>
              </w:rPr>
            </w:pPr>
          </w:p>
          <w:p w:rsidR="00E5459C" w:rsidRDefault="00E5459C" w:rsidP="009D4EDC">
            <w:pPr>
              <w:rPr>
                <w:rFonts w:ascii="Arial" w:hAnsi="Arial" w:cs="Arial"/>
                <w:b/>
                <w:szCs w:val="24"/>
              </w:rPr>
            </w:pPr>
          </w:p>
          <w:p w:rsidR="00E5459C" w:rsidRDefault="00E5459C" w:rsidP="009D4EDC">
            <w:pPr>
              <w:rPr>
                <w:rFonts w:ascii="Arial" w:hAnsi="Arial" w:cs="Arial"/>
                <w:b/>
                <w:szCs w:val="24"/>
              </w:rPr>
            </w:pPr>
          </w:p>
          <w:p w:rsidR="00E5459C" w:rsidRDefault="00E5459C" w:rsidP="009D4EDC">
            <w:pPr>
              <w:rPr>
                <w:rFonts w:ascii="Arial" w:hAnsi="Arial" w:cs="Arial"/>
                <w:b/>
                <w:szCs w:val="24"/>
              </w:rPr>
            </w:pPr>
          </w:p>
          <w:p w:rsidR="00E5459C" w:rsidRDefault="00E5459C" w:rsidP="009D4EDC">
            <w:pPr>
              <w:rPr>
                <w:rFonts w:ascii="Arial" w:hAnsi="Arial" w:cs="Arial"/>
                <w:b/>
                <w:szCs w:val="24"/>
              </w:rPr>
            </w:pPr>
          </w:p>
          <w:p w:rsidR="00E5459C" w:rsidRDefault="00E5459C" w:rsidP="009D4EDC">
            <w:pPr>
              <w:rPr>
                <w:rFonts w:ascii="Arial" w:hAnsi="Arial" w:cs="Arial"/>
                <w:b/>
                <w:szCs w:val="24"/>
              </w:rPr>
            </w:pPr>
          </w:p>
          <w:p w:rsidR="00E5459C" w:rsidRDefault="00E5459C" w:rsidP="009D4EDC">
            <w:pPr>
              <w:rPr>
                <w:rFonts w:ascii="Arial" w:hAnsi="Arial" w:cs="Arial"/>
                <w:b/>
                <w:szCs w:val="24"/>
              </w:rPr>
            </w:pPr>
          </w:p>
          <w:p w:rsidR="00E5459C" w:rsidRDefault="00E5459C" w:rsidP="009D4EDC">
            <w:pPr>
              <w:rPr>
                <w:rFonts w:ascii="Arial" w:hAnsi="Arial" w:cs="Arial"/>
                <w:b/>
                <w:szCs w:val="24"/>
              </w:rPr>
            </w:pPr>
          </w:p>
          <w:p w:rsidR="00E5459C" w:rsidRPr="00524146" w:rsidRDefault="00E5459C" w:rsidP="009D4EDC">
            <w:pPr>
              <w:rPr>
                <w:rFonts w:ascii="Arial" w:hAnsi="Arial" w:cs="Arial"/>
                <w:b/>
                <w:szCs w:val="24"/>
              </w:rPr>
            </w:pPr>
          </w:p>
        </w:tc>
        <w:tc>
          <w:tcPr>
            <w:tcW w:w="3817" w:type="pct"/>
            <w:tcBorders>
              <w:bottom w:val="single" w:sz="4" w:space="0" w:color="auto"/>
            </w:tcBorders>
            <w:shd w:val="clear" w:color="auto" w:fill="auto"/>
          </w:tcPr>
          <w:p w:rsidR="00C149A1" w:rsidRDefault="005D7664" w:rsidP="00D37F53">
            <w:pPr>
              <w:pStyle w:val="Default"/>
              <w:jc w:val="both"/>
            </w:pPr>
            <w:r>
              <w:t xml:space="preserve">North East Lincolnshire Council (NELC) and the North East Lincolnshire Clinical Commissioning Group (CCG) have a strong and established </w:t>
            </w:r>
            <w:r w:rsidR="00FF0148">
              <w:t xml:space="preserve">partnership, the governance of which </w:t>
            </w:r>
            <w:r w:rsidR="00C149A1">
              <w:t xml:space="preserve">is underpinned by a </w:t>
            </w:r>
            <w:r>
              <w:t>s75 agreement</w:t>
            </w:r>
            <w:r w:rsidR="00C149A1">
              <w:t>.</w:t>
            </w:r>
          </w:p>
          <w:p w:rsidR="00C149A1" w:rsidRDefault="00C149A1" w:rsidP="00D37F53">
            <w:pPr>
              <w:pStyle w:val="Default"/>
              <w:jc w:val="both"/>
            </w:pPr>
          </w:p>
          <w:p w:rsidR="00C149A1" w:rsidRDefault="00C149A1" w:rsidP="00D37F53">
            <w:pPr>
              <w:pStyle w:val="Default"/>
              <w:jc w:val="both"/>
            </w:pPr>
            <w:r>
              <w:t>Reference to “s75 Agreement” is a reference to s75 National Health Service Act 2006</w:t>
            </w:r>
            <w:r w:rsidR="009253E6">
              <w:t>, t</w:t>
            </w:r>
            <w:r>
              <w:t>his statutory provision governs arrangements between NHS bodies and local authorities</w:t>
            </w:r>
            <w:r w:rsidR="009253E6">
              <w:t xml:space="preserve"> allowing them to operate pooled budgets at a local level, as well as Integrated Commissioning arrangements</w:t>
            </w:r>
          </w:p>
          <w:p w:rsidR="009253E6" w:rsidRDefault="009253E6" w:rsidP="00D37F53">
            <w:pPr>
              <w:pStyle w:val="Default"/>
              <w:jc w:val="both"/>
            </w:pPr>
          </w:p>
          <w:p w:rsidR="005D7664" w:rsidRDefault="00C149A1" w:rsidP="00D37F53">
            <w:pPr>
              <w:pStyle w:val="Default"/>
              <w:jc w:val="both"/>
            </w:pPr>
            <w:r>
              <w:t xml:space="preserve">In order to support the ‘Enhanced Partnership’ </w:t>
            </w:r>
            <w:r w:rsidR="009253E6">
              <w:t>between NELC and the CCG the s75 h</w:t>
            </w:r>
            <w:r w:rsidR="005D7664">
              <w:t>as been identified as needing a refresh and realignment.</w:t>
            </w:r>
          </w:p>
          <w:p w:rsidR="009253E6" w:rsidRDefault="009253E6" w:rsidP="00D37F53">
            <w:pPr>
              <w:pStyle w:val="Default"/>
              <w:jc w:val="both"/>
            </w:pPr>
          </w:p>
          <w:p w:rsidR="005D7664" w:rsidRDefault="005D7664" w:rsidP="00D37F53">
            <w:pPr>
              <w:pStyle w:val="Default"/>
              <w:jc w:val="both"/>
            </w:pPr>
            <w:r>
              <w:t>As such a work program has been brought together</w:t>
            </w:r>
            <w:r w:rsidR="00AD7B4F">
              <w:t xml:space="preserve"> supported by external legal expertise</w:t>
            </w:r>
            <w:r>
              <w:t xml:space="preserve"> to refresh the existing s75 arrangements</w:t>
            </w:r>
            <w:r w:rsidR="00AD7B4F">
              <w:t>,</w:t>
            </w:r>
            <w:r>
              <w:t xml:space="preserve"> being predicated upon flexibility and adaptability so as to be able to support, adapt and evolve as the relationship between NELC and CCG grows.</w:t>
            </w:r>
          </w:p>
          <w:p w:rsidR="009253E6" w:rsidRDefault="009253E6" w:rsidP="00D37F53">
            <w:pPr>
              <w:pStyle w:val="Default"/>
              <w:jc w:val="both"/>
            </w:pPr>
          </w:p>
          <w:p w:rsidR="004658BE" w:rsidRDefault="004658BE" w:rsidP="00D37F53">
            <w:pPr>
              <w:pStyle w:val="Default"/>
              <w:jc w:val="both"/>
            </w:pPr>
            <w:r>
              <w:t>The refreshed s75 covers :-</w:t>
            </w:r>
          </w:p>
          <w:p w:rsidR="004658BE" w:rsidRDefault="004658BE" w:rsidP="00D37F53">
            <w:pPr>
              <w:pStyle w:val="Default"/>
              <w:jc w:val="both"/>
            </w:pPr>
          </w:p>
          <w:p w:rsidR="004658BE" w:rsidRDefault="004658BE" w:rsidP="004658BE">
            <w:pPr>
              <w:pStyle w:val="Default"/>
              <w:numPr>
                <w:ilvl w:val="0"/>
                <w:numId w:val="8"/>
              </w:numPr>
              <w:jc w:val="both"/>
            </w:pPr>
            <w:r>
              <w:t>Adults Services</w:t>
            </w:r>
          </w:p>
          <w:p w:rsidR="004658BE" w:rsidRDefault="004658BE" w:rsidP="004658BE">
            <w:pPr>
              <w:pStyle w:val="Default"/>
              <w:ind w:left="720"/>
              <w:jc w:val="both"/>
            </w:pPr>
          </w:p>
          <w:p w:rsidR="004658BE" w:rsidRDefault="004658BE" w:rsidP="004658BE">
            <w:pPr>
              <w:pStyle w:val="Default"/>
              <w:numPr>
                <w:ilvl w:val="0"/>
                <w:numId w:val="8"/>
              </w:numPr>
              <w:jc w:val="both"/>
            </w:pPr>
            <w:r>
              <w:t>Children’s Services</w:t>
            </w:r>
          </w:p>
          <w:p w:rsidR="004658BE" w:rsidRDefault="004658BE" w:rsidP="004658BE">
            <w:pPr>
              <w:pStyle w:val="Default"/>
              <w:jc w:val="both"/>
            </w:pPr>
          </w:p>
          <w:p w:rsidR="004658BE" w:rsidRDefault="004658BE" w:rsidP="004658BE">
            <w:pPr>
              <w:pStyle w:val="Default"/>
              <w:jc w:val="both"/>
            </w:pPr>
          </w:p>
          <w:p w:rsidR="004658BE" w:rsidRDefault="004658BE" w:rsidP="004658BE">
            <w:pPr>
              <w:pStyle w:val="Default"/>
              <w:jc w:val="both"/>
            </w:pPr>
          </w:p>
          <w:p w:rsidR="004658BE" w:rsidRDefault="004658BE" w:rsidP="004658BE">
            <w:pPr>
              <w:pStyle w:val="Default"/>
              <w:jc w:val="both"/>
            </w:pPr>
            <w:r>
              <w:t>The Adult Services in scope include:-</w:t>
            </w:r>
          </w:p>
          <w:p w:rsidR="006F5BFD" w:rsidRDefault="006F5BFD" w:rsidP="004658BE">
            <w:pPr>
              <w:pStyle w:val="Default"/>
              <w:jc w:val="both"/>
            </w:pPr>
          </w:p>
          <w:p w:rsidR="004658BE" w:rsidRDefault="004658BE" w:rsidP="004658BE">
            <w:pPr>
              <w:pStyle w:val="Default"/>
              <w:numPr>
                <w:ilvl w:val="0"/>
                <w:numId w:val="11"/>
              </w:numPr>
              <w:jc w:val="both"/>
            </w:pPr>
            <w:r>
              <w:t>Statutory Adult Social Care</w:t>
            </w:r>
          </w:p>
          <w:p w:rsidR="004658BE" w:rsidRDefault="004658BE" w:rsidP="004658BE">
            <w:pPr>
              <w:pStyle w:val="Default"/>
              <w:numPr>
                <w:ilvl w:val="0"/>
                <w:numId w:val="11"/>
              </w:numPr>
              <w:jc w:val="both"/>
            </w:pPr>
            <w:r>
              <w:t>Prevention and Early Help Services</w:t>
            </w:r>
          </w:p>
          <w:p w:rsidR="004658BE" w:rsidRDefault="004658BE" w:rsidP="004658BE">
            <w:pPr>
              <w:pStyle w:val="Default"/>
              <w:numPr>
                <w:ilvl w:val="0"/>
                <w:numId w:val="11"/>
              </w:numPr>
              <w:jc w:val="both"/>
            </w:pPr>
            <w:r>
              <w:t xml:space="preserve">Complex and Specialist Health and Care </w:t>
            </w:r>
          </w:p>
          <w:p w:rsidR="004658BE" w:rsidRDefault="004658BE" w:rsidP="004658BE">
            <w:pPr>
              <w:pStyle w:val="Default"/>
              <w:numPr>
                <w:ilvl w:val="0"/>
                <w:numId w:val="11"/>
              </w:numPr>
              <w:jc w:val="both"/>
            </w:pPr>
            <w:r>
              <w:t>Primary Care services relating to adults</w:t>
            </w:r>
          </w:p>
          <w:p w:rsidR="004658BE" w:rsidRDefault="004658BE" w:rsidP="004658BE">
            <w:pPr>
              <w:pStyle w:val="Default"/>
              <w:numPr>
                <w:ilvl w:val="0"/>
                <w:numId w:val="11"/>
              </w:numPr>
              <w:jc w:val="both"/>
            </w:pPr>
            <w:r>
              <w:t>Community Health Services relating to adults (including Community Mental Health)</w:t>
            </w:r>
          </w:p>
          <w:p w:rsidR="004658BE" w:rsidRDefault="004658BE" w:rsidP="004658BE">
            <w:pPr>
              <w:pStyle w:val="Default"/>
              <w:numPr>
                <w:ilvl w:val="0"/>
                <w:numId w:val="11"/>
              </w:numPr>
              <w:jc w:val="both"/>
            </w:pPr>
            <w:r>
              <w:t>Adult Acute Care</w:t>
            </w:r>
          </w:p>
          <w:p w:rsidR="004658BE" w:rsidRDefault="004658BE" w:rsidP="004658BE">
            <w:pPr>
              <w:pStyle w:val="Default"/>
              <w:numPr>
                <w:ilvl w:val="0"/>
                <w:numId w:val="11"/>
              </w:numPr>
              <w:jc w:val="both"/>
            </w:pPr>
            <w:r>
              <w:t xml:space="preserve">Adult Acute Mental Health </w:t>
            </w:r>
          </w:p>
          <w:p w:rsidR="004658BE" w:rsidRDefault="004658BE" w:rsidP="004658BE">
            <w:pPr>
              <w:pStyle w:val="Default"/>
              <w:numPr>
                <w:ilvl w:val="0"/>
                <w:numId w:val="11"/>
              </w:numPr>
              <w:jc w:val="both"/>
            </w:pPr>
            <w:r>
              <w:t>End of Life Care</w:t>
            </w:r>
          </w:p>
          <w:p w:rsidR="004658BE" w:rsidRDefault="004658BE" w:rsidP="004658BE">
            <w:pPr>
              <w:pStyle w:val="Default"/>
              <w:numPr>
                <w:ilvl w:val="0"/>
                <w:numId w:val="11"/>
              </w:numPr>
              <w:jc w:val="both"/>
            </w:pPr>
            <w:r>
              <w:t>Transitions from child to adulthood</w:t>
            </w:r>
          </w:p>
          <w:p w:rsidR="004658BE" w:rsidRDefault="004658BE" w:rsidP="004658BE">
            <w:pPr>
              <w:pStyle w:val="Default"/>
              <w:ind w:left="720"/>
              <w:jc w:val="both"/>
            </w:pPr>
          </w:p>
          <w:p w:rsidR="006F5BFD" w:rsidRDefault="006F5BFD" w:rsidP="006F5BFD">
            <w:pPr>
              <w:pStyle w:val="Default"/>
              <w:jc w:val="both"/>
            </w:pPr>
            <w:r>
              <w:t>The Children</w:t>
            </w:r>
            <w:r w:rsidR="00556D35">
              <w:t>’</w:t>
            </w:r>
            <w:r>
              <w:t xml:space="preserve">s Services in scope include: - </w:t>
            </w:r>
          </w:p>
          <w:p w:rsidR="006F5BFD" w:rsidRDefault="006F5BFD" w:rsidP="006F5BFD">
            <w:pPr>
              <w:pStyle w:val="Default"/>
              <w:jc w:val="both"/>
            </w:pPr>
          </w:p>
          <w:p w:rsidR="006F5BFD" w:rsidRDefault="006F5BFD" w:rsidP="006F5BFD">
            <w:pPr>
              <w:pStyle w:val="Default"/>
              <w:numPr>
                <w:ilvl w:val="0"/>
                <w:numId w:val="16"/>
              </w:numPr>
              <w:jc w:val="both"/>
            </w:pPr>
            <w:r>
              <w:t>Statutory Children's Social Care</w:t>
            </w:r>
          </w:p>
          <w:p w:rsidR="006F5BFD" w:rsidRDefault="006F5BFD" w:rsidP="006F5BFD">
            <w:pPr>
              <w:pStyle w:val="Default"/>
              <w:numPr>
                <w:ilvl w:val="0"/>
                <w:numId w:val="16"/>
              </w:numPr>
              <w:jc w:val="both"/>
            </w:pPr>
            <w:r>
              <w:t>Prevention and Early Help Services</w:t>
            </w:r>
          </w:p>
          <w:p w:rsidR="006F5BFD" w:rsidRDefault="006F5BFD" w:rsidP="006F5BFD">
            <w:pPr>
              <w:pStyle w:val="Default"/>
              <w:numPr>
                <w:ilvl w:val="0"/>
                <w:numId w:val="16"/>
              </w:numPr>
              <w:jc w:val="both"/>
            </w:pPr>
            <w:r>
              <w:t>Complex and Specialist Health and Care</w:t>
            </w:r>
          </w:p>
          <w:p w:rsidR="006F5BFD" w:rsidRDefault="006F5BFD" w:rsidP="006F5BFD">
            <w:pPr>
              <w:pStyle w:val="Default"/>
              <w:numPr>
                <w:ilvl w:val="0"/>
                <w:numId w:val="16"/>
              </w:numPr>
              <w:jc w:val="both"/>
            </w:pPr>
            <w:r>
              <w:t>Primary Care services relating to children</w:t>
            </w:r>
          </w:p>
          <w:p w:rsidR="006F5BFD" w:rsidRDefault="006F5BFD" w:rsidP="006F5BFD">
            <w:pPr>
              <w:pStyle w:val="Default"/>
              <w:numPr>
                <w:ilvl w:val="0"/>
                <w:numId w:val="16"/>
              </w:numPr>
              <w:jc w:val="both"/>
            </w:pPr>
            <w:r>
              <w:t>Children's Acute Care</w:t>
            </w:r>
          </w:p>
          <w:p w:rsidR="006F5BFD" w:rsidRDefault="006F5BFD" w:rsidP="006F5BFD">
            <w:pPr>
              <w:pStyle w:val="Default"/>
              <w:numPr>
                <w:ilvl w:val="0"/>
                <w:numId w:val="16"/>
              </w:numPr>
              <w:jc w:val="both"/>
            </w:pPr>
            <w:r>
              <w:t>Maternity Services</w:t>
            </w:r>
          </w:p>
          <w:p w:rsidR="006F5BFD" w:rsidRDefault="006F5BFD" w:rsidP="006F5BFD">
            <w:pPr>
              <w:pStyle w:val="Default"/>
              <w:numPr>
                <w:ilvl w:val="0"/>
                <w:numId w:val="16"/>
              </w:numPr>
              <w:jc w:val="both"/>
            </w:pPr>
            <w:r>
              <w:t>Transitions from child to adulthood</w:t>
            </w:r>
          </w:p>
          <w:p w:rsidR="00AD7B4F" w:rsidRDefault="00AD7B4F" w:rsidP="00D37F53">
            <w:pPr>
              <w:pStyle w:val="Default"/>
              <w:jc w:val="both"/>
            </w:pPr>
          </w:p>
          <w:p w:rsidR="00CF7125" w:rsidRDefault="00CF7125" w:rsidP="00D37F53">
            <w:pPr>
              <w:pStyle w:val="Default"/>
              <w:jc w:val="both"/>
            </w:pPr>
            <w:r w:rsidRPr="00556D35">
              <w:t>Provision is reserved in the agreement that further service areas can be included by way of annexation in the future and with the evolution of the integration ambition.</w:t>
            </w:r>
          </w:p>
          <w:p w:rsidR="00CF7125" w:rsidRDefault="00CF7125" w:rsidP="00D37F53">
            <w:pPr>
              <w:pStyle w:val="Default"/>
              <w:jc w:val="both"/>
            </w:pPr>
          </w:p>
          <w:p w:rsidR="005D7664" w:rsidRDefault="00CF7125" w:rsidP="00D37F53">
            <w:pPr>
              <w:pStyle w:val="Default"/>
              <w:jc w:val="both"/>
            </w:pPr>
            <w:r>
              <w:t>The strategic oversight of the integration and operation of the s75 agreement will be the remit of the Union Board.  This is the global phrase used to capture the concurrent meetings of the sub-committee of Cabinet (for NELC) and the sub-committee of the Governing Body of the CCG.</w:t>
            </w:r>
          </w:p>
          <w:p w:rsidR="00CF7125" w:rsidRDefault="00CF7125" w:rsidP="00D37F53">
            <w:pPr>
              <w:pStyle w:val="Default"/>
              <w:jc w:val="both"/>
            </w:pPr>
          </w:p>
          <w:p w:rsidR="00CF7125" w:rsidRDefault="00CF7125" w:rsidP="00D37F53">
            <w:pPr>
              <w:pStyle w:val="Default"/>
              <w:jc w:val="both"/>
            </w:pPr>
            <w:r>
              <w:t xml:space="preserve">It is important to recognise that NELC and CCG </w:t>
            </w:r>
            <w:r w:rsidR="008C03E7">
              <w:t>remain</w:t>
            </w:r>
            <w:r>
              <w:t xml:space="preserve"> two separate entities with their own regulatory and constitutional frameworks within which committee meetings are conducted. </w:t>
            </w:r>
          </w:p>
          <w:p w:rsidR="00CF7125" w:rsidRDefault="00CF7125" w:rsidP="00D37F53">
            <w:pPr>
              <w:pStyle w:val="Default"/>
              <w:jc w:val="both"/>
            </w:pPr>
          </w:p>
          <w:p w:rsidR="00CF7125" w:rsidRDefault="00CF7125" w:rsidP="00D37F53">
            <w:pPr>
              <w:pStyle w:val="Default"/>
              <w:jc w:val="both"/>
            </w:pPr>
            <w:r>
              <w:t xml:space="preserve">Therefore the Union Board continues to be a meeting of separate and divisible sub </w:t>
            </w:r>
            <w:r w:rsidR="008C03E7">
              <w:t>committees</w:t>
            </w:r>
            <w:r>
              <w:t>, the terms of reference for which are captured within the s75 agreement.</w:t>
            </w:r>
          </w:p>
          <w:p w:rsidR="00CF7125" w:rsidRDefault="00CF7125" w:rsidP="00D37F53">
            <w:pPr>
              <w:pStyle w:val="Default"/>
              <w:jc w:val="both"/>
            </w:pPr>
          </w:p>
          <w:p w:rsidR="00CF7125" w:rsidRDefault="00CF7125" w:rsidP="00D37F53">
            <w:pPr>
              <w:pStyle w:val="Default"/>
              <w:jc w:val="both"/>
            </w:pPr>
            <w:r>
              <w:t>The remit of the Union Board is to:</w:t>
            </w:r>
          </w:p>
          <w:p w:rsidR="00CF7125" w:rsidRDefault="00CF7125" w:rsidP="00D37F53">
            <w:pPr>
              <w:pStyle w:val="Default"/>
              <w:jc w:val="both"/>
            </w:pPr>
          </w:p>
          <w:p w:rsidR="00CF7125" w:rsidRPr="0083433F" w:rsidRDefault="00CF7125" w:rsidP="00556D35">
            <w:pPr>
              <w:pStyle w:val="ListParagraph"/>
              <w:numPr>
                <w:ilvl w:val="0"/>
                <w:numId w:val="17"/>
              </w:numPr>
              <w:autoSpaceDE w:val="0"/>
              <w:autoSpaceDN w:val="0"/>
              <w:adjustRightInd w:val="0"/>
              <w:ind w:left="521" w:hanging="161"/>
              <w:jc w:val="both"/>
              <w:rPr>
                <w:rFonts w:ascii="Arial" w:hAnsi="Arial" w:cs="Arial"/>
                <w:bCs/>
                <w:sz w:val="24"/>
                <w:szCs w:val="24"/>
                <w:lang w:eastAsia="en-GB"/>
              </w:rPr>
            </w:pPr>
            <w:r w:rsidRPr="0083433F">
              <w:rPr>
                <w:rFonts w:ascii="Arial" w:hAnsi="Arial" w:cs="Arial"/>
                <w:bCs/>
                <w:sz w:val="24"/>
                <w:szCs w:val="24"/>
                <w:lang w:eastAsia="en-GB"/>
              </w:rPr>
              <w:t>Oversee, and provide strategic direction / leadership for the delivery of the s75 arrangements and the development, implementation and on-going operation of the s75 Services;</w:t>
            </w:r>
          </w:p>
          <w:p w:rsidR="00CF7125" w:rsidRPr="0083433F" w:rsidRDefault="00CF7125" w:rsidP="00556D35">
            <w:pPr>
              <w:pStyle w:val="ListParagraph"/>
              <w:numPr>
                <w:ilvl w:val="0"/>
                <w:numId w:val="17"/>
              </w:numPr>
              <w:autoSpaceDE w:val="0"/>
              <w:autoSpaceDN w:val="0"/>
              <w:adjustRightInd w:val="0"/>
              <w:ind w:left="521" w:hanging="161"/>
              <w:jc w:val="both"/>
              <w:rPr>
                <w:rFonts w:ascii="Arial" w:hAnsi="Arial" w:cs="Arial"/>
                <w:bCs/>
                <w:sz w:val="24"/>
                <w:szCs w:val="24"/>
                <w:lang w:eastAsia="en-GB"/>
              </w:rPr>
            </w:pPr>
            <w:r w:rsidRPr="0083433F">
              <w:rPr>
                <w:rFonts w:ascii="Arial" w:hAnsi="Arial" w:cs="Arial"/>
                <w:bCs/>
                <w:sz w:val="24"/>
                <w:szCs w:val="24"/>
                <w:lang w:eastAsia="en-GB"/>
              </w:rPr>
              <w:t>Monitor and review the effectiveness of the arrangements and make recommendations to the Partners (e.g. in the event of any changes to legislation, developments in best practice or requirements imposed by or on the Partners);</w:t>
            </w:r>
          </w:p>
          <w:p w:rsidR="00CF7125" w:rsidRPr="0083433F" w:rsidRDefault="00CF7125" w:rsidP="00556D35">
            <w:pPr>
              <w:pStyle w:val="ListParagraph"/>
              <w:numPr>
                <w:ilvl w:val="0"/>
                <w:numId w:val="17"/>
              </w:numPr>
              <w:autoSpaceDE w:val="0"/>
              <w:autoSpaceDN w:val="0"/>
              <w:adjustRightInd w:val="0"/>
              <w:ind w:left="521" w:hanging="161"/>
              <w:jc w:val="both"/>
              <w:rPr>
                <w:rFonts w:ascii="Arial" w:hAnsi="Arial" w:cs="Arial"/>
                <w:bCs/>
                <w:sz w:val="24"/>
                <w:szCs w:val="24"/>
                <w:lang w:eastAsia="en-GB"/>
              </w:rPr>
            </w:pPr>
            <w:r w:rsidRPr="0083433F">
              <w:rPr>
                <w:rFonts w:ascii="Arial" w:hAnsi="Arial" w:cs="Arial"/>
                <w:bCs/>
                <w:sz w:val="24"/>
                <w:szCs w:val="24"/>
                <w:lang w:eastAsia="en-GB"/>
              </w:rPr>
              <w:t xml:space="preserve">On an annual basis, undertake a review of delivery against three year rolling Business Plan and Critical Success Factors and provide the necessary approvals;   </w:t>
            </w:r>
          </w:p>
          <w:p w:rsidR="00CF7125" w:rsidRPr="0083433F" w:rsidRDefault="00CF7125" w:rsidP="0083433F">
            <w:pPr>
              <w:pStyle w:val="ListParagraph"/>
              <w:numPr>
                <w:ilvl w:val="0"/>
                <w:numId w:val="17"/>
              </w:numPr>
              <w:autoSpaceDE w:val="0"/>
              <w:autoSpaceDN w:val="0"/>
              <w:adjustRightInd w:val="0"/>
              <w:ind w:left="521" w:hanging="142"/>
              <w:jc w:val="both"/>
              <w:rPr>
                <w:rFonts w:ascii="Arial" w:hAnsi="Arial" w:cs="Arial"/>
                <w:bCs/>
                <w:sz w:val="24"/>
                <w:szCs w:val="24"/>
                <w:lang w:eastAsia="en-GB"/>
              </w:rPr>
            </w:pPr>
            <w:r w:rsidRPr="0083433F">
              <w:rPr>
                <w:rFonts w:ascii="Arial" w:hAnsi="Arial" w:cs="Arial"/>
                <w:bCs/>
                <w:sz w:val="24"/>
                <w:szCs w:val="24"/>
                <w:lang w:eastAsia="en-GB"/>
              </w:rPr>
              <w:t>Make recommendations to each of the Partners regarding budget and resources and no later than early December in each year submit these to the Partners for approval as part of the Business Plan and each Partner’s budget setting process;</w:t>
            </w:r>
          </w:p>
          <w:p w:rsidR="00CF7125" w:rsidRPr="0083433F" w:rsidRDefault="00CF7125" w:rsidP="0083433F">
            <w:pPr>
              <w:pStyle w:val="ListParagraph"/>
              <w:numPr>
                <w:ilvl w:val="0"/>
                <w:numId w:val="17"/>
              </w:numPr>
              <w:autoSpaceDE w:val="0"/>
              <w:autoSpaceDN w:val="0"/>
              <w:adjustRightInd w:val="0"/>
              <w:ind w:left="521" w:hanging="142"/>
              <w:jc w:val="both"/>
              <w:rPr>
                <w:rFonts w:ascii="Arial" w:hAnsi="Arial" w:cs="Arial"/>
                <w:bCs/>
                <w:sz w:val="24"/>
                <w:szCs w:val="24"/>
                <w:lang w:eastAsia="en-GB"/>
              </w:rPr>
            </w:pPr>
            <w:r w:rsidRPr="0083433F">
              <w:rPr>
                <w:rFonts w:ascii="Arial" w:hAnsi="Arial" w:cs="Arial"/>
                <w:bCs/>
                <w:sz w:val="24"/>
                <w:szCs w:val="24"/>
                <w:lang w:eastAsia="en-GB"/>
              </w:rPr>
              <w:t xml:space="preserve">Agree the Financial Contributions to be included within the Commissioning Plans for each of the relevant financial years; </w:t>
            </w:r>
          </w:p>
          <w:p w:rsidR="00CF7125" w:rsidRPr="0083433F" w:rsidRDefault="00CF7125" w:rsidP="0083433F">
            <w:pPr>
              <w:pStyle w:val="ListParagraph"/>
              <w:numPr>
                <w:ilvl w:val="0"/>
                <w:numId w:val="17"/>
              </w:numPr>
              <w:autoSpaceDE w:val="0"/>
              <w:autoSpaceDN w:val="0"/>
              <w:adjustRightInd w:val="0"/>
              <w:ind w:left="521" w:hanging="142"/>
              <w:jc w:val="both"/>
              <w:rPr>
                <w:rFonts w:ascii="Arial" w:hAnsi="Arial" w:cs="Arial"/>
                <w:bCs/>
                <w:sz w:val="24"/>
                <w:szCs w:val="24"/>
                <w:lang w:eastAsia="en-GB"/>
              </w:rPr>
            </w:pPr>
            <w:r w:rsidRPr="0083433F">
              <w:rPr>
                <w:rFonts w:ascii="Arial" w:hAnsi="Arial" w:cs="Arial"/>
                <w:bCs/>
                <w:sz w:val="24"/>
                <w:szCs w:val="24"/>
                <w:lang w:eastAsia="en-GB"/>
              </w:rPr>
              <w:t>Consider and agree redeployment, retention or apportionment of any projected or unplanned underspend in respect of a Pooled Fund;</w:t>
            </w:r>
          </w:p>
          <w:p w:rsidR="00CF7125" w:rsidRPr="0083433F" w:rsidRDefault="00CF7125" w:rsidP="0083433F">
            <w:pPr>
              <w:pStyle w:val="ListParagraph"/>
              <w:numPr>
                <w:ilvl w:val="0"/>
                <w:numId w:val="17"/>
              </w:numPr>
              <w:autoSpaceDE w:val="0"/>
              <w:autoSpaceDN w:val="0"/>
              <w:adjustRightInd w:val="0"/>
              <w:ind w:left="521" w:hanging="142"/>
              <w:jc w:val="both"/>
              <w:rPr>
                <w:rFonts w:ascii="Arial" w:hAnsi="Arial" w:cs="Arial"/>
                <w:bCs/>
                <w:sz w:val="24"/>
                <w:szCs w:val="24"/>
                <w:lang w:eastAsia="en-GB"/>
              </w:rPr>
            </w:pPr>
            <w:r w:rsidRPr="0083433F">
              <w:rPr>
                <w:rFonts w:ascii="Arial" w:hAnsi="Arial" w:cs="Arial"/>
                <w:bCs/>
                <w:sz w:val="24"/>
                <w:szCs w:val="24"/>
                <w:lang w:eastAsia="en-GB"/>
              </w:rPr>
              <w:t xml:space="preserve">Receive the Quarterly Reports from the Pooled Fund Manager(s); </w:t>
            </w:r>
          </w:p>
          <w:p w:rsidR="00CF7125" w:rsidRPr="0083433F" w:rsidRDefault="00CF7125" w:rsidP="0083433F">
            <w:pPr>
              <w:pStyle w:val="ListParagraph"/>
              <w:numPr>
                <w:ilvl w:val="0"/>
                <w:numId w:val="17"/>
              </w:numPr>
              <w:autoSpaceDE w:val="0"/>
              <w:autoSpaceDN w:val="0"/>
              <w:adjustRightInd w:val="0"/>
              <w:ind w:left="521" w:hanging="142"/>
              <w:jc w:val="both"/>
              <w:rPr>
                <w:rFonts w:ascii="Arial" w:hAnsi="Arial" w:cs="Arial"/>
                <w:bCs/>
                <w:sz w:val="24"/>
                <w:szCs w:val="24"/>
                <w:lang w:eastAsia="en-GB"/>
              </w:rPr>
            </w:pPr>
            <w:r w:rsidRPr="0083433F">
              <w:rPr>
                <w:rFonts w:ascii="Arial" w:hAnsi="Arial" w:cs="Arial"/>
                <w:bCs/>
                <w:sz w:val="24"/>
                <w:szCs w:val="24"/>
                <w:lang w:eastAsia="en-GB"/>
              </w:rPr>
              <w:t>Receive an annual report from the Partners by no later than 30</w:t>
            </w:r>
            <w:r w:rsidRPr="0083433F">
              <w:rPr>
                <w:rFonts w:ascii="Arial" w:hAnsi="Arial" w:cs="Arial"/>
                <w:bCs/>
                <w:sz w:val="24"/>
                <w:szCs w:val="24"/>
                <w:vertAlign w:val="superscript"/>
                <w:lang w:eastAsia="en-GB"/>
              </w:rPr>
              <w:t>th</w:t>
            </w:r>
            <w:r w:rsidRPr="0083433F">
              <w:rPr>
                <w:rFonts w:ascii="Arial" w:hAnsi="Arial" w:cs="Arial"/>
                <w:bCs/>
                <w:sz w:val="24"/>
                <w:szCs w:val="24"/>
                <w:lang w:eastAsia="en-GB"/>
              </w:rPr>
              <w:t xml:space="preserve"> June in each year covering the progress and achievement of the Union’s strategic objectives in the 12 month period ending on the preceding 31st March;</w:t>
            </w:r>
          </w:p>
          <w:p w:rsidR="00CF7125" w:rsidRPr="0083433F" w:rsidRDefault="00CF7125" w:rsidP="0083433F">
            <w:pPr>
              <w:pStyle w:val="ListParagraph"/>
              <w:numPr>
                <w:ilvl w:val="0"/>
                <w:numId w:val="17"/>
              </w:numPr>
              <w:autoSpaceDE w:val="0"/>
              <w:autoSpaceDN w:val="0"/>
              <w:adjustRightInd w:val="0"/>
              <w:ind w:left="521" w:hanging="142"/>
              <w:jc w:val="both"/>
              <w:rPr>
                <w:rFonts w:ascii="Arial" w:hAnsi="Arial" w:cs="Arial"/>
                <w:bCs/>
                <w:sz w:val="24"/>
                <w:szCs w:val="24"/>
                <w:lang w:eastAsia="en-GB"/>
              </w:rPr>
            </w:pPr>
            <w:r w:rsidRPr="0083433F">
              <w:rPr>
                <w:rFonts w:ascii="Arial" w:hAnsi="Arial" w:cs="Arial"/>
                <w:bCs/>
                <w:sz w:val="24"/>
                <w:szCs w:val="24"/>
                <w:lang w:eastAsia="en-GB"/>
              </w:rPr>
              <w:lastRenderedPageBreak/>
              <w:t>Co-operate with and participate in Overview and Scrutiny exercises of the Partners into the activities of the Services and ensure that engagement and consultation obligations of the Partners are undertaken;</w:t>
            </w:r>
          </w:p>
          <w:p w:rsidR="00CF7125" w:rsidRPr="0083433F" w:rsidRDefault="00CF7125" w:rsidP="0083433F">
            <w:pPr>
              <w:pStyle w:val="ListParagraph"/>
              <w:numPr>
                <w:ilvl w:val="0"/>
                <w:numId w:val="17"/>
              </w:numPr>
              <w:autoSpaceDE w:val="0"/>
              <w:autoSpaceDN w:val="0"/>
              <w:adjustRightInd w:val="0"/>
              <w:ind w:left="521" w:hanging="142"/>
              <w:jc w:val="both"/>
              <w:rPr>
                <w:rFonts w:ascii="Arial" w:hAnsi="Arial" w:cs="Arial"/>
                <w:bCs/>
                <w:sz w:val="24"/>
                <w:szCs w:val="24"/>
                <w:lang w:eastAsia="en-GB"/>
              </w:rPr>
            </w:pPr>
            <w:r w:rsidRPr="0083433F">
              <w:rPr>
                <w:rFonts w:ascii="Arial" w:hAnsi="Arial" w:cs="Arial"/>
                <w:bCs/>
                <w:sz w:val="24"/>
                <w:szCs w:val="24"/>
                <w:lang w:eastAsia="en-GB"/>
              </w:rPr>
              <w:t xml:space="preserve">Review and ensure the operation and effectiveness of the Union arrangements and Agreement at least every two years and consider ways in which the arrangements can be developed and make recommendations to the Partners as appropriate;  </w:t>
            </w:r>
          </w:p>
          <w:p w:rsidR="00CF7125" w:rsidRPr="0083433F" w:rsidRDefault="00CF7125" w:rsidP="0083433F">
            <w:pPr>
              <w:pStyle w:val="ListParagraph"/>
              <w:numPr>
                <w:ilvl w:val="0"/>
                <w:numId w:val="17"/>
              </w:numPr>
              <w:autoSpaceDE w:val="0"/>
              <w:autoSpaceDN w:val="0"/>
              <w:adjustRightInd w:val="0"/>
              <w:ind w:left="521" w:hanging="142"/>
              <w:jc w:val="both"/>
              <w:rPr>
                <w:rFonts w:ascii="Arial" w:hAnsi="Arial" w:cs="Arial"/>
                <w:bCs/>
                <w:sz w:val="24"/>
                <w:szCs w:val="24"/>
                <w:lang w:eastAsia="en-GB"/>
              </w:rPr>
            </w:pPr>
            <w:r w:rsidRPr="0083433F">
              <w:rPr>
                <w:rFonts w:ascii="Arial" w:hAnsi="Arial" w:cs="Arial"/>
                <w:bCs/>
                <w:sz w:val="24"/>
                <w:szCs w:val="24"/>
                <w:lang w:eastAsia="en-GB"/>
              </w:rPr>
              <w:t>from time to time identify, develop and approve appropriate methodology to support further integration of the Partners so as to achieve the objectives of efficiency and value for money across the Partners;</w:t>
            </w:r>
          </w:p>
          <w:p w:rsidR="00CF7125" w:rsidRPr="0083433F" w:rsidRDefault="00CF7125" w:rsidP="0083433F">
            <w:pPr>
              <w:pStyle w:val="ListParagraph"/>
              <w:numPr>
                <w:ilvl w:val="0"/>
                <w:numId w:val="17"/>
              </w:numPr>
              <w:autoSpaceDE w:val="0"/>
              <w:autoSpaceDN w:val="0"/>
              <w:adjustRightInd w:val="0"/>
              <w:ind w:left="521" w:hanging="142"/>
              <w:jc w:val="both"/>
              <w:rPr>
                <w:rFonts w:ascii="Arial" w:hAnsi="Arial" w:cs="Arial"/>
                <w:bCs/>
                <w:sz w:val="24"/>
                <w:szCs w:val="24"/>
                <w:lang w:eastAsia="en-GB"/>
              </w:rPr>
            </w:pPr>
            <w:r w:rsidRPr="0083433F">
              <w:rPr>
                <w:rFonts w:ascii="Arial" w:hAnsi="Arial" w:cs="Arial"/>
                <w:bCs/>
                <w:sz w:val="24"/>
                <w:szCs w:val="24"/>
                <w:lang w:eastAsia="en-GB"/>
              </w:rPr>
              <w:t>Unless provided for in these Terms of Reference, all other decisions arising from, or in connection with, the s75 Services shall be taken by each Partner in accordance with their existing decision making processes;</w:t>
            </w:r>
          </w:p>
          <w:p w:rsidR="00CF7125" w:rsidRPr="0083433F" w:rsidRDefault="00CF7125" w:rsidP="0083433F">
            <w:pPr>
              <w:pStyle w:val="ListParagraph"/>
              <w:numPr>
                <w:ilvl w:val="0"/>
                <w:numId w:val="17"/>
              </w:numPr>
              <w:autoSpaceDE w:val="0"/>
              <w:autoSpaceDN w:val="0"/>
              <w:adjustRightInd w:val="0"/>
              <w:ind w:left="521" w:hanging="142"/>
              <w:jc w:val="both"/>
              <w:rPr>
                <w:rFonts w:ascii="Arial" w:hAnsi="Arial" w:cs="Arial"/>
                <w:bCs/>
                <w:sz w:val="24"/>
                <w:szCs w:val="24"/>
                <w:lang w:eastAsia="en-GB"/>
              </w:rPr>
            </w:pPr>
            <w:r w:rsidRPr="0083433F">
              <w:rPr>
                <w:rFonts w:ascii="Arial" w:hAnsi="Arial" w:cs="Arial"/>
                <w:bCs/>
                <w:sz w:val="24"/>
                <w:szCs w:val="24"/>
                <w:lang w:eastAsia="en-GB"/>
              </w:rPr>
              <w:t xml:space="preserve">Receive notifications as regards "high" residual risks in relation to the delivery of the Commissioning Plans; </w:t>
            </w:r>
          </w:p>
          <w:p w:rsidR="00CF7125" w:rsidRPr="0083433F" w:rsidRDefault="00CF7125" w:rsidP="0083433F">
            <w:pPr>
              <w:pStyle w:val="ListParagraph"/>
              <w:numPr>
                <w:ilvl w:val="0"/>
                <w:numId w:val="17"/>
              </w:numPr>
              <w:autoSpaceDE w:val="0"/>
              <w:autoSpaceDN w:val="0"/>
              <w:adjustRightInd w:val="0"/>
              <w:ind w:left="521" w:hanging="142"/>
              <w:jc w:val="both"/>
              <w:rPr>
                <w:rFonts w:ascii="Arial" w:hAnsi="Arial" w:cs="Arial"/>
                <w:bCs/>
                <w:sz w:val="24"/>
                <w:szCs w:val="24"/>
                <w:lang w:eastAsia="en-GB"/>
              </w:rPr>
            </w:pPr>
            <w:r w:rsidRPr="0083433F">
              <w:rPr>
                <w:rFonts w:ascii="Arial" w:hAnsi="Arial" w:cs="Arial"/>
                <w:bCs/>
                <w:sz w:val="24"/>
                <w:szCs w:val="24"/>
                <w:lang w:eastAsia="en-GB"/>
              </w:rPr>
              <w:t>Receive notifications and assurances of actions taken to appropriately address complaints in relation to the operation of the s75 arrangements.</w:t>
            </w:r>
          </w:p>
          <w:p w:rsidR="00CF7125" w:rsidRDefault="00CF7125" w:rsidP="00D37F53">
            <w:pPr>
              <w:pStyle w:val="Default"/>
              <w:jc w:val="both"/>
            </w:pPr>
            <w:r>
              <w:t>It is acknowledged and accepted that these functions may change and adapt as the relationship grows and as integration moves forward.  Provision is made to permit that to happen.</w:t>
            </w:r>
          </w:p>
          <w:p w:rsidR="009561E8" w:rsidRDefault="009561E8" w:rsidP="00D37F53">
            <w:pPr>
              <w:pStyle w:val="Default"/>
              <w:jc w:val="both"/>
            </w:pPr>
          </w:p>
          <w:p w:rsidR="009561E8" w:rsidRDefault="009561E8" w:rsidP="00D37F53">
            <w:pPr>
              <w:pStyle w:val="Default"/>
              <w:jc w:val="both"/>
            </w:pPr>
            <w:r>
              <w:t>Both NELC and CCG will capture the Union Board terms of reference in their constitutions and ensure that members of respective sub-committees have such delegations as are required for the performance and delivery of the above functions.</w:t>
            </w:r>
          </w:p>
          <w:p w:rsidR="00CF7125" w:rsidRDefault="00CF7125" w:rsidP="00D37F53">
            <w:pPr>
              <w:pStyle w:val="Default"/>
              <w:jc w:val="both"/>
            </w:pPr>
          </w:p>
          <w:p w:rsidR="008C03E7" w:rsidRDefault="00CF7125" w:rsidP="00D37F53">
            <w:pPr>
              <w:pStyle w:val="Default"/>
              <w:jc w:val="both"/>
            </w:pPr>
            <w:r>
              <w:t xml:space="preserve">It is also recognised that physical integration will assist overall in the process and therefore NELC and CCG are now co-located to Municipal Offices Town Hall Square Grimsby.  </w:t>
            </w:r>
          </w:p>
          <w:p w:rsidR="008C03E7" w:rsidRDefault="008C03E7" w:rsidP="00D37F53">
            <w:pPr>
              <w:pStyle w:val="Default"/>
              <w:jc w:val="both"/>
            </w:pPr>
          </w:p>
          <w:p w:rsidR="00CF7125" w:rsidRDefault="00CF7125" w:rsidP="00D37F53">
            <w:pPr>
              <w:pStyle w:val="Default"/>
              <w:jc w:val="both"/>
            </w:pPr>
            <w:r>
              <w:t xml:space="preserve">Further, the s75 agreement provides for the gradual evolution of shared “back office” services such as IT, communications, data control and processing etc.  </w:t>
            </w:r>
            <w:r w:rsidR="008C03E7">
              <w:t>Again this will assist integration as far as the law permits and is possible as a result of the strength of the relationship between the two entities and a willingness on both sides to explore such opportunities under the strategic leadership of the Union Board.</w:t>
            </w:r>
          </w:p>
          <w:p w:rsidR="005F026F" w:rsidRPr="00524146" w:rsidRDefault="005F026F" w:rsidP="0083433F">
            <w:pPr>
              <w:pStyle w:val="Default"/>
              <w:ind w:left="720"/>
              <w:jc w:val="both"/>
            </w:pPr>
          </w:p>
        </w:tc>
      </w:tr>
      <w:tr w:rsidR="009D4EDC" w:rsidRPr="00524146" w:rsidTr="00E5459C">
        <w:tc>
          <w:tcPr>
            <w:tcW w:w="1183" w:type="pct"/>
            <w:shd w:val="clear" w:color="auto" w:fill="FFFFFF" w:themeFill="background1"/>
          </w:tcPr>
          <w:p w:rsidR="009D4EDC" w:rsidRDefault="00E94B5E" w:rsidP="000D1B0D">
            <w:pPr>
              <w:pStyle w:val="Default"/>
              <w:jc w:val="both"/>
              <w:rPr>
                <w:b/>
                <w:color w:val="auto"/>
              </w:rPr>
            </w:pPr>
            <w:r>
              <w:rPr>
                <w:b/>
                <w:color w:val="auto"/>
              </w:rPr>
              <w:lastRenderedPageBreak/>
              <w:t xml:space="preserve">Request / </w:t>
            </w:r>
            <w:r w:rsidR="009D4EDC" w:rsidRPr="00E5459C">
              <w:rPr>
                <w:b/>
                <w:color w:val="auto"/>
              </w:rPr>
              <w:t>Recommendations:</w:t>
            </w:r>
          </w:p>
          <w:p w:rsidR="00E5459C" w:rsidRPr="00E5459C" w:rsidRDefault="00E5459C" w:rsidP="000D1B0D">
            <w:pPr>
              <w:pStyle w:val="Default"/>
              <w:jc w:val="both"/>
              <w:rPr>
                <w:i/>
                <w:color w:val="FFFFFF"/>
              </w:rPr>
            </w:pPr>
          </w:p>
        </w:tc>
        <w:tc>
          <w:tcPr>
            <w:tcW w:w="3817" w:type="pct"/>
            <w:shd w:val="clear" w:color="auto" w:fill="FFFFFF" w:themeFill="background1"/>
          </w:tcPr>
          <w:p w:rsidR="009D4EDC" w:rsidRPr="00524146" w:rsidRDefault="00FD60E0" w:rsidP="000D1B0D">
            <w:pPr>
              <w:pStyle w:val="Default"/>
              <w:jc w:val="both"/>
            </w:pPr>
            <w:r>
              <w:t xml:space="preserve">To </w:t>
            </w:r>
            <w:r w:rsidR="00277D27">
              <w:t>take note of</w:t>
            </w:r>
            <w:r>
              <w:t xml:space="preserve"> the </w:t>
            </w:r>
            <w:r w:rsidR="008C03E7">
              <w:t>briefing and support the completion of the s75 agreement.</w:t>
            </w:r>
          </w:p>
          <w:p w:rsidR="009D4EDC" w:rsidRPr="00524146" w:rsidRDefault="009D4EDC" w:rsidP="000D1B0D">
            <w:pPr>
              <w:pStyle w:val="Default"/>
              <w:jc w:val="both"/>
            </w:pPr>
          </w:p>
        </w:tc>
      </w:tr>
      <w:tr w:rsidR="00E402F3" w:rsidRPr="00524146" w:rsidTr="00144ED4">
        <w:tc>
          <w:tcPr>
            <w:tcW w:w="1183" w:type="pct"/>
            <w:shd w:val="clear" w:color="auto" w:fill="auto"/>
          </w:tcPr>
          <w:p w:rsidR="00E402F3" w:rsidRPr="00524146" w:rsidRDefault="00D45509" w:rsidP="00E402F3">
            <w:pPr>
              <w:pStyle w:val="Default"/>
              <w:rPr>
                <w:b/>
              </w:rPr>
            </w:pPr>
            <w:r w:rsidRPr="00524146">
              <w:rPr>
                <w:b/>
              </w:rPr>
              <w:t xml:space="preserve">Supporting papers </w:t>
            </w:r>
          </w:p>
          <w:p w:rsidR="00E402F3" w:rsidRPr="00524146" w:rsidRDefault="00E402F3" w:rsidP="00E402F3">
            <w:pPr>
              <w:pStyle w:val="Default"/>
              <w:rPr>
                <w:b/>
              </w:rPr>
            </w:pPr>
          </w:p>
        </w:tc>
        <w:bookmarkStart w:id="1" w:name="_MON_1603605993"/>
        <w:bookmarkEnd w:id="1"/>
        <w:tc>
          <w:tcPr>
            <w:tcW w:w="3817" w:type="pct"/>
            <w:shd w:val="clear" w:color="auto" w:fill="auto"/>
          </w:tcPr>
          <w:p w:rsidR="00D37F53" w:rsidRDefault="00896DA2" w:rsidP="000D1B0D">
            <w:pPr>
              <w:pStyle w:val="Default"/>
              <w:jc w:val="both"/>
            </w:pPr>
            <w:r>
              <w:object w:dxaOrig="1537"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5pt;height:49.85pt" o:ole="">
                  <v:imagedata r:id="rId10" o:title=""/>
                </v:shape>
                <o:OLEObject Type="Embed" ProgID="Word.Document.12" ShapeID="_x0000_i1025" DrawAspect="Icon" ObjectID="_1609675743" r:id="rId11">
                  <o:FieldCodes>\s</o:FieldCodes>
                </o:OLEObject>
              </w:object>
            </w:r>
          </w:p>
          <w:p w:rsidR="00233693" w:rsidRPr="00524146" w:rsidRDefault="00233693" w:rsidP="00CF7125">
            <w:pPr>
              <w:pStyle w:val="Default"/>
              <w:jc w:val="both"/>
            </w:pPr>
          </w:p>
        </w:tc>
      </w:tr>
    </w:tbl>
    <w:p w:rsidR="009D4EDC" w:rsidRPr="00524146" w:rsidRDefault="009D4EDC" w:rsidP="00E9066B">
      <w:pPr>
        <w:pStyle w:val="Default"/>
        <w:jc w:val="both"/>
      </w:pPr>
    </w:p>
    <w:sectPr w:rsidR="009D4EDC" w:rsidRPr="00524146" w:rsidSect="00144ED4">
      <w:headerReference w:type="default" r:id="rId12"/>
      <w:footerReference w:type="default" r:id="rId13"/>
      <w:pgSz w:w="11900" w:h="16840"/>
      <w:pgMar w:top="567" w:right="567" w:bottom="567" w:left="567" w:header="0"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5B4" w:rsidRDefault="007475B4" w:rsidP="00E1284E">
      <w:r>
        <w:separator/>
      </w:r>
    </w:p>
  </w:endnote>
  <w:endnote w:type="continuationSeparator" w:id="0">
    <w:p w:rsidR="007475B4" w:rsidRDefault="007475B4" w:rsidP="00E12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9C" w:rsidRDefault="0028419C">
    <w:pPr>
      <w:pStyle w:val="Footer"/>
    </w:pPr>
    <w:r>
      <w:fldChar w:fldCharType="begin"/>
    </w:r>
    <w:r>
      <w:instrText xml:space="preserve"> PAGE   \* MERGEFORMAT </w:instrText>
    </w:r>
    <w:r>
      <w:fldChar w:fldCharType="separate"/>
    </w:r>
    <w:r w:rsidR="00F3142B">
      <w:rPr>
        <w:noProof/>
      </w:rPr>
      <w:t>1</w:t>
    </w:r>
    <w:r>
      <w:rPr>
        <w:noProof/>
      </w:rPr>
      <w:fldChar w:fldCharType="end"/>
    </w:r>
  </w:p>
  <w:p w:rsidR="0028419C" w:rsidRDefault="00284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5B4" w:rsidRDefault="007475B4" w:rsidP="00E1284E">
      <w:r>
        <w:separator/>
      </w:r>
    </w:p>
  </w:footnote>
  <w:footnote w:type="continuationSeparator" w:id="0">
    <w:p w:rsidR="007475B4" w:rsidRDefault="007475B4" w:rsidP="00E12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409" w:rsidRDefault="001D2409">
    <w:pPr>
      <w:pStyle w:val="Header"/>
    </w:pPr>
    <w:r>
      <w:rPr>
        <w:noProof/>
        <w:lang w:val="en-GB" w:eastAsia="en-GB"/>
      </w:rPr>
      <mc:AlternateContent>
        <mc:Choice Requires="wps">
          <w:drawing>
            <wp:anchor distT="0" distB="0" distL="114300" distR="114300" simplePos="0" relativeHeight="251657728" behindDoc="0" locked="0" layoutInCell="0" allowOverlap="1" wp14:anchorId="0171A29D" wp14:editId="7F7815EE">
              <wp:simplePos x="0" y="0"/>
              <wp:positionH relativeFrom="page">
                <wp:posOffset>6988810</wp:posOffset>
              </wp:positionH>
              <wp:positionV relativeFrom="page">
                <wp:posOffset>8150225</wp:posOffset>
              </wp:positionV>
              <wp:extent cx="51943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409" w:rsidRPr="00893409" w:rsidRDefault="00893409">
                          <w:pPr>
                            <w:pStyle w:val="Footer"/>
                            <w:rPr>
                              <w:rFonts w:eastAsia="Times New Roman"/>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171A29D" id="Rectangle 3" o:spid="_x0000_s1028" style="position:absolute;margin-left:550.3pt;margin-top:641.75pt;width:40.9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" o:allowincell="f" filled="f" stroked="f">
              <v:textbox style="layout-flow:vertical;mso-layout-flow-alt:bottom-to-top;mso-fit-shape-to-text:t">
                <w:txbxContent>
                  <w:p w:rsidR="00893409" w:rsidRPr="00893409" w:rsidRDefault="00893409">
                    <w:pPr>
                      <w:pStyle w:val="Footer"/>
                      <w:rPr>
                        <w:rFonts w:eastAsia="Times New Roman"/>
                        <w:sz w:val="44"/>
                        <w:szCs w:val="44"/>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08D5"/>
    <w:multiLevelType w:val="hybridMultilevel"/>
    <w:tmpl w:val="F4087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C3EE8"/>
    <w:multiLevelType w:val="hybridMultilevel"/>
    <w:tmpl w:val="FB626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E07813"/>
    <w:multiLevelType w:val="hybridMultilevel"/>
    <w:tmpl w:val="7B145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E4621F"/>
    <w:multiLevelType w:val="multilevel"/>
    <w:tmpl w:val="1B2A768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8D207B"/>
    <w:multiLevelType w:val="hybridMultilevel"/>
    <w:tmpl w:val="A0F2DE5C"/>
    <w:lvl w:ilvl="0" w:tplc="945282FC">
      <w:start w:val="1"/>
      <w:numFmt w:val="decimal"/>
      <w:lvlText w:val="%1."/>
      <w:lvlJc w:val="left"/>
      <w:pPr>
        <w:ind w:left="360" w:hanging="360"/>
      </w:pPr>
      <w:rPr>
        <w:rFonts w:cs="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06B25E4"/>
    <w:multiLevelType w:val="hybridMultilevel"/>
    <w:tmpl w:val="538EE8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0880599"/>
    <w:multiLevelType w:val="hybridMultilevel"/>
    <w:tmpl w:val="F364C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22640A"/>
    <w:multiLevelType w:val="multilevel"/>
    <w:tmpl w:val="5238927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C874D94"/>
    <w:multiLevelType w:val="hybridMultilevel"/>
    <w:tmpl w:val="A2506BB6"/>
    <w:lvl w:ilvl="0" w:tplc="FC04B498">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FE28D0"/>
    <w:multiLevelType w:val="hybridMultilevel"/>
    <w:tmpl w:val="EC32C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62788B"/>
    <w:multiLevelType w:val="hybridMultilevel"/>
    <w:tmpl w:val="59A45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A10301"/>
    <w:multiLevelType w:val="hybridMultilevel"/>
    <w:tmpl w:val="E7228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550731"/>
    <w:multiLevelType w:val="hybridMultilevel"/>
    <w:tmpl w:val="3C46B96A"/>
    <w:lvl w:ilvl="0" w:tplc="08090001">
      <w:start w:val="1"/>
      <w:numFmt w:val="bullet"/>
      <w:lvlText w:val=""/>
      <w:lvlJc w:val="left"/>
      <w:pPr>
        <w:ind w:left="816" w:hanging="360"/>
      </w:pPr>
      <w:rPr>
        <w:rFonts w:ascii="Symbol" w:hAnsi="Symbol"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13" w15:restartNumberingAfterBreak="0">
    <w:nsid w:val="6E8410C9"/>
    <w:multiLevelType w:val="hybridMultilevel"/>
    <w:tmpl w:val="5F6871EE"/>
    <w:lvl w:ilvl="0" w:tplc="08090001">
      <w:start w:val="1"/>
      <w:numFmt w:val="bullet"/>
      <w:lvlText w:val=""/>
      <w:lvlJc w:val="left"/>
      <w:pPr>
        <w:ind w:left="816" w:hanging="360"/>
      </w:pPr>
      <w:rPr>
        <w:rFonts w:ascii="Symbol" w:hAnsi="Symbol"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14" w15:restartNumberingAfterBreak="0">
    <w:nsid w:val="72FF7ECD"/>
    <w:multiLevelType w:val="hybridMultilevel"/>
    <w:tmpl w:val="A104C01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FEA0DFC"/>
    <w:multiLevelType w:val="hybridMultilevel"/>
    <w:tmpl w:val="558AFA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8"/>
  </w:num>
  <w:num w:numId="4">
    <w:abstractNumId w:val="5"/>
  </w:num>
  <w:num w:numId="5">
    <w:abstractNumId w:val="2"/>
  </w:num>
  <w:num w:numId="6">
    <w:abstractNumId w:val="10"/>
  </w:num>
  <w:num w:numId="7">
    <w:abstractNumId w:val="1"/>
  </w:num>
  <w:num w:numId="8">
    <w:abstractNumId w:val="15"/>
  </w:num>
  <w:num w:numId="9">
    <w:abstractNumId w:val="0"/>
  </w:num>
  <w:num w:numId="10">
    <w:abstractNumId w:val="3"/>
  </w:num>
  <w:num w:numId="11">
    <w:abstractNumId w:val="11"/>
  </w:num>
  <w:num w:numId="12">
    <w:abstractNumId w:val="6"/>
  </w:num>
  <w:num w:numId="13">
    <w:abstractNumId w:val="9"/>
  </w:num>
  <w:num w:numId="14">
    <w:abstractNumId w:val="7"/>
  </w:num>
  <w:num w:numId="15">
    <w:abstractNumId w:val="13"/>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92546C"/>
    <w:rsid w:val="00005BBC"/>
    <w:rsid w:val="00006E07"/>
    <w:rsid w:val="00034CF6"/>
    <w:rsid w:val="000350E4"/>
    <w:rsid w:val="00046B77"/>
    <w:rsid w:val="0009052F"/>
    <w:rsid w:val="00090A5B"/>
    <w:rsid w:val="00096E41"/>
    <w:rsid w:val="000A554D"/>
    <w:rsid w:val="000A7EB7"/>
    <w:rsid w:val="000C4D3C"/>
    <w:rsid w:val="000C70E4"/>
    <w:rsid w:val="000D1426"/>
    <w:rsid w:val="000D1B0D"/>
    <w:rsid w:val="000E7F91"/>
    <w:rsid w:val="00107535"/>
    <w:rsid w:val="001112C0"/>
    <w:rsid w:val="001139C9"/>
    <w:rsid w:val="00136B75"/>
    <w:rsid w:val="00144ED4"/>
    <w:rsid w:val="001556E0"/>
    <w:rsid w:val="00160986"/>
    <w:rsid w:val="0016479A"/>
    <w:rsid w:val="001D2409"/>
    <w:rsid w:val="002044CF"/>
    <w:rsid w:val="002054A0"/>
    <w:rsid w:val="00233693"/>
    <w:rsid w:val="00236BD5"/>
    <w:rsid w:val="00246A4E"/>
    <w:rsid w:val="00246EFA"/>
    <w:rsid w:val="00277D27"/>
    <w:rsid w:val="0028419C"/>
    <w:rsid w:val="002F38A7"/>
    <w:rsid w:val="00306A1B"/>
    <w:rsid w:val="00340568"/>
    <w:rsid w:val="0036397D"/>
    <w:rsid w:val="00374C88"/>
    <w:rsid w:val="003D7845"/>
    <w:rsid w:val="00453E4B"/>
    <w:rsid w:val="00462732"/>
    <w:rsid w:val="00462A8D"/>
    <w:rsid w:val="004658BE"/>
    <w:rsid w:val="00473565"/>
    <w:rsid w:val="00473CC5"/>
    <w:rsid w:val="00480159"/>
    <w:rsid w:val="004A090D"/>
    <w:rsid w:val="004E32B5"/>
    <w:rsid w:val="004F5317"/>
    <w:rsid w:val="004F5744"/>
    <w:rsid w:val="004F6116"/>
    <w:rsid w:val="00524146"/>
    <w:rsid w:val="005310F1"/>
    <w:rsid w:val="0054308A"/>
    <w:rsid w:val="00556D35"/>
    <w:rsid w:val="00557DD0"/>
    <w:rsid w:val="0059121B"/>
    <w:rsid w:val="005A0D0A"/>
    <w:rsid w:val="005A4EC5"/>
    <w:rsid w:val="005A53D1"/>
    <w:rsid w:val="005B0C13"/>
    <w:rsid w:val="005B1419"/>
    <w:rsid w:val="005D7664"/>
    <w:rsid w:val="005F026F"/>
    <w:rsid w:val="006006E6"/>
    <w:rsid w:val="006330C7"/>
    <w:rsid w:val="00653FC6"/>
    <w:rsid w:val="00663808"/>
    <w:rsid w:val="00697B0F"/>
    <w:rsid w:val="006A23CE"/>
    <w:rsid w:val="006C1307"/>
    <w:rsid w:val="006C4735"/>
    <w:rsid w:val="006F3A4E"/>
    <w:rsid w:val="006F5BFD"/>
    <w:rsid w:val="00703268"/>
    <w:rsid w:val="0071072D"/>
    <w:rsid w:val="00734128"/>
    <w:rsid w:val="00736911"/>
    <w:rsid w:val="007405E7"/>
    <w:rsid w:val="007475B4"/>
    <w:rsid w:val="00755446"/>
    <w:rsid w:val="007663C8"/>
    <w:rsid w:val="00793F90"/>
    <w:rsid w:val="007C526F"/>
    <w:rsid w:val="007D1C13"/>
    <w:rsid w:val="007E1C2F"/>
    <w:rsid w:val="007E2A23"/>
    <w:rsid w:val="007E586A"/>
    <w:rsid w:val="008044FD"/>
    <w:rsid w:val="008336DE"/>
    <w:rsid w:val="0083433F"/>
    <w:rsid w:val="00846301"/>
    <w:rsid w:val="00876931"/>
    <w:rsid w:val="00893409"/>
    <w:rsid w:val="00896DA2"/>
    <w:rsid w:val="008C03E7"/>
    <w:rsid w:val="008C5A15"/>
    <w:rsid w:val="00901CC0"/>
    <w:rsid w:val="00911F40"/>
    <w:rsid w:val="009169E9"/>
    <w:rsid w:val="009245B1"/>
    <w:rsid w:val="009253E6"/>
    <w:rsid w:val="0092546C"/>
    <w:rsid w:val="00955316"/>
    <w:rsid w:val="009561E8"/>
    <w:rsid w:val="0098436E"/>
    <w:rsid w:val="00991A1C"/>
    <w:rsid w:val="00995A9E"/>
    <w:rsid w:val="009C70D2"/>
    <w:rsid w:val="009D39DE"/>
    <w:rsid w:val="009D4EDC"/>
    <w:rsid w:val="009E45D2"/>
    <w:rsid w:val="00A0148B"/>
    <w:rsid w:val="00A218A3"/>
    <w:rsid w:val="00A34173"/>
    <w:rsid w:val="00A66D55"/>
    <w:rsid w:val="00A764CD"/>
    <w:rsid w:val="00A9358C"/>
    <w:rsid w:val="00A977E0"/>
    <w:rsid w:val="00AB5B1D"/>
    <w:rsid w:val="00AB645B"/>
    <w:rsid w:val="00AD7B4F"/>
    <w:rsid w:val="00AF4A4F"/>
    <w:rsid w:val="00B24425"/>
    <w:rsid w:val="00B34C20"/>
    <w:rsid w:val="00B62F45"/>
    <w:rsid w:val="00B658DC"/>
    <w:rsid w:val="00B76E57"/>
    <w:rsid w:val="00B84753"/>
    <w:rsid w:val="00B96B78"/>
    <w:rsid w:val="00B971B9"/>
    <w:rsid w:val="00BB0439"/>
    <w:rsid w:val="00BB40A8"/>
    <w:rsid w:val="00BE2870"/>
    <w:rsid w:val="00BE53CE"/>
    <w:rsid w:val="00BE727A"/>
    <w:rsid w:val="00BE7CCE"/>
    <w:rsid w:val="00BF6196"/>
    <w:rsid w:val="00C149A1"/>
    <w:rsid w:val="00C15201"/>
    <w:rsid w:val="00C2035A"/>
    <w:rsid w:val="00C41576"/>
    <w:rsid w:val="00C43C14"/>
    <w:rsid w:val="00C450D4"/>
    <w:rsid w:val="00C52984"/>
    <w:rsid w:val="00C64AF0"/>
    <w:rsid w:val="00C81EF3"/>
    <w:rsid w:val="00CA348E"/>
    <w:rsid w:val="00CA4E8E"/>
    <w:rsid w:val="00CB1860"/>
    <w:rsid w:val="00CC2C55"/>
    <w:rsid w:val="00CF20A6"/>
    <w:rsid w:val="00CF347F"/>
    <w:rsid w:val="00CF395E"/>
    <w:rsid w:val="00CF7125"/>
    <w:rsid w:val="00D00012"/>
    <w:rsid w:val="00D3211A"/>
    <w:rsid w:val="00D37F53"/>
    <w:rsid w:val="00D45509"/>
    <w:rsid w:val="00D64ABD"/>
    <w:rsid w:val="00D7667F"/>
    <w:rsid w:val="00DB16C5"/>
    <w:rsid w:val="00DB37E5"/>
    <w:rsid w:val="00DE0BED"/>
    <w:rsid w:val="00DE185E"/>
    <w:rsid w:val="00DF4A7E"/>
    <w:rsid w:val="00E1284E"/>
    <w:rsid w:val="00E26D6F"/>
    <w:rsid w:val="00E402F3"/>
    <w:rsid w:val="00E52FDA"/>
    <w:rsid w:val="00E5459C"/>
    <w:rsid w:val="00E61AF0"/>
    <w:rsid w:val="00E72942"/>
    <w:rsid w:val="00E72F52"/>
    <w:rsid w:val="00E73B61"/>
    <w:rsid w:val="00E76606"/>
    <w:rsid w:val="00E86651"/>
    <w:rsid w:val="00E9066B"/>
    <w:rsid w:val="00E94B5E"/>
    <w:rsid w:val="00E97542"/>
    <w:rsid w:val="00EA4E01"/>
    <w:rsid w:val="00EB634A"/>
    <w:rsid w:val="00EC357B"/>
    <w:rsid w:val="00F300A1"/>
    <w:rsid w:val="00F3142B"/>
    <w:rsid w:val="00F54DEB"/>
    <w:rsid w:val="00F66AB7"/>
    <w:rsid w:val="00F97DC2"/>
    <w:rsid w:val="00FB449C"/>
    <w:rsid w:val="00FC0220"/>
    <w:rsid w:val="00FD60E0"/>
    <w:rsid w:val="00FF014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AC33D3F5-1E32-42E7-BF11-25C2D59ED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651"/>
    <w:rPr>
      <w:rFonts w:ascii="Times New Roman" w:eastAsia="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link w:val="MediumGrid2Char"/>
    <w:qFormat/>
    <w:rsid w:val="0092546C"/>
    <w:rPr>
      <w:sz w:val="24"/>
      <w:szCs w:val="24"/>
      <w:lang w:val="en-US" w:eastAsia="ja-JP"/>
    </w:rPr>
  </w:style>
  <w:style w:type="paragraph" w:styleId="Header">
    <w:name w:val="header"/>
    <w:basedOn w:val="Normal"/>
    <w:link w:val="HeaderChar"/>
    <w:uiPriority w:val="99"/>
    <w:unhideWhenUsed/>
    <w:rsid w:val="00E1284E"/>
    <w:pPr>
      <w:tabs>
        <w:tab w:val="center" w:pos="4320"/>
        <w:tab w:val="right" w:pos="8640"/>
      </w:tabs>
    </w:pPr>
    <w:rPr>
      <w:rFonts w:ascii="Cambria" w:eastAsia="MS Mincho" w:hAnsi="Cambria"/>
      <w:szCs w:val="24"/>
      <w:lang w:val="en-US" w:eastAsia="ja-JP"/>
    </w:rPr>
  </w:style>
  <w:style w:type="character" w:customStyle="1" w:styleId="HeaderChar">
    <w:name w:val="Header Char"/>
    <w:basedOn w:val="DefaultParagraphFont"/>
    <w:link w:val="Header"/>
    <w:uiPriority w:val="99"/>
    <w:rsid w:val="00E1284E"/>
  </w:style>
  <w:style w:type="paragraph" w:styleId="Footer">
    <w:name w:val="footer"/>
    <w:basedOn w:val="Normal"/>
    <w:link w:val="FooterChar"/>
    <w:uiPriority w:val="99"/>
    <w:unhideWhenUsed/>
    <w:rsid w:val="00E1284E"/>
    <w:pPr>
      <w:tabs>
        <w:tab w:val="center" w:pos="4320"/>
        <w:tab w:val="right" w:pos="8640"/>
      </w:tabs>
    </w:pPr>
    <w:rPr>
      <w:rFonts w:ascii="Cambria" w:eastAsia="MS Mincho" w:hAnsi="Cambria"/>
      <w:szCs w:val="24"/>
      <w:lang w:val="en-US" w:eastAsia="ja-JP"/>
    </w:rPr>
  </w:style>
  <w:style w:type="character" w:customStyle="1" w:styleId="FooterChar">
    <w:name w:val="Footer Char"/>
    <w:basedOn w:val="DefaultParagraphFont"/>
    <w:link w:val="Footer"/>
    <w:uiPriority w:val="99"/>
    <w:rsid w:val="00E1284E"/>
  </w:style>
  <w:style w:type="character" w:customStyle="1" w:styleId="MediumGrid2Char">
    <w:name w:val="Medium Grid 2 Char"/>
    <w:link w:val="MediumGrid21"/>
    <w:rsid w:val="00E1284E"/>
    <w:rPr>
      <w:sz w:val="24"/>
      <w:szCs w:val="24"/>
      <w:lang w:val="en-US" w:eastAsia="ja-JP" w:bidi="ar-SA"/>
    </w:rPr>
  </w:style>
  <w:style w:type="character" w:styleId="Hyperlink">
    <w:name w:val="Hyperlink"/>
    <w:uiPriority w:val="99"/>
    <w:unhideWhenUsed/>
    <w:rsid w:val="000C4D3C"/>
    <w:rPr>
      <w:color w:val="0000FF"/>
      <w:u w:val="single"/>
    </w:rPr>
  </w:style>
  <w:style w:type="paragraph" w:customStyle="1" w:styleId="Default">
    <w:name w:val="Default"/>
    <w:rsid w:val="00D3211A"/>
    <w:pPr>
      <w:autoSpaceDE w:val="0"/>
      <w:autoSpaceDN w:val="0"/>
      <w:adjustRightInd w:val="0"/>
    </w:pPr>
    <w:rPr>
      <w:rFonts w:ascii="Arial" w:hAnsi="Arial" w:cs="Arial"/>
      <w:color w:val="000000"/>
      <w:sz w:val="24"/>
      <w:szCs w:val="24"/>
    </w:rPr>
  </w:style>
  <w:style w:type="paragraph" w:styleId="NoSpacing">
    <w:name w:val="No Spacing"/>
    <w:uiPriority w:val="1"/>
    <w:qFormat/>
    <w:rsid w:val="00BE2870"/>
    <w:rPr>
      <w:rFonts w:ascii="Calibri" w:eastAsia="Calibri" w:hAnsi="Calibri"/>
      <w:sz w:val="22"/>
      <w:szCs w:val="22"/>
      <w:lang w:eastAsia="en-US"/>
    </w:rPr>
  </w:style>
  <w:style w:type="paragraph" w:styleId="ListParagraph">
    <w:name w:val="List Paragraph"/>
    <w:basedOn w:val="Normal"/>
    <w:uiPriority w:val="34"/>
    <w:qFormat/>
    <w:rsid w:val="00BE2870"/>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7C5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02F3"/>
    <w:rPr>
      <w:rFonts w:ascii="Tahoma" w:hAnsi="Tahoma" w:cs="Tahoma"/>
      <w:sz w:val="16"/>
      <w:szCs w:val="16"/>
    </w:rPr>
  </w:style>
  <w:style w:type="character" w:customStyle="1" w:styleId="BalloonTextChar">
    <w:name w:val="Balloon Text Char"/>
    <w:basedOn w:val="DefaultParagraphFont"/>
    <w:link w:val="BalloonText"/>
    <w:uiPriority w:val="99"/>
    <w:semiHidden/>
    <w:rsid w:val="00E402F3"/>
    <w:rPr>
      <w:rFonts w:ascii="Tahoma" w:eastAsia="Times New Roman" w:hAnsi="Tahoma" w:cs="Tahoma"/>
      <w:sz w:val="16"/>
      <w:szCs w:val="16"/>
      <w:lang w:eastAsia="en-US"/>
    </w:rPr>
  </w:style>
  <w:style w:type="character" w:styleId="CommentReference">
    <w:name w:val="annotation reference"/>
    <w:basedOn w:val="DefaultParagraphFont"/>
    <w:uiPriority w:val="99"/>
    <w:semiHidden/>
    <w:unhideWhenUsed/>
    <w:rsid w:val="00FD60E0"/>
    <w:rPr>
      <w:sz w:val="16"/>
      <w:szCs w:val="16"/>
    </w:rPr>
  </w:style>
  <w:style w:type="paragraph" w:styleId="CommentText">
    <w:name w:val="annotation text"/>
    <w:basedOn w:val="Normal"/>
    <w:link w:val="CommentTextChar"/>
    <w:uiPriority w:val="99"/>
    <w:semiHidden/>
    <w:unhideWhenUsed/>
    <w:rsid w:val="00FD60E0"/>
    <w:rPr>
      <w:sz w:val="20"/>
    </w:rPr>
  </w:style>
  <w:style w:type="character" w:customStyle="1" w:styleId="CommentTextChar">
    <w:name w:val="Comment Text Char"/>
    <w:basedOn w:val="DefaultParagraphFont"/>
    <w:link w:val="CommentText"/>
    <w:uiPriority w:val="99"/>
    <w:semiHidden/>
    <w:rsid w:val="00FD60E0"/>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FD60E0"/>
    <w:rPr>
      <w:b/>
      <w:bCs/>
    </w:rPr>
  </w:style>
  <w:style w:type="character" w:customStyle="1" w:styleId="CommentSubjectChar">
    <w:name w:val="Comment Subject Char"/>
    <w:basedOn w:val="CommentTextChar"/>
    <w:link w:val="CommentSubject"/>
    <w:uiPriority w:val="99"/>
    <w:semiHidden/>
    <w:rsid w:val="00FD60E0"/>
    <w:rPr>
      <w:rFonts w:ascii="Times New Roman" w:eastAsia="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37924">
      <w:bodyDiv w:val="1"/>
      <w:marLeft w:val="0"/>
      <w:marRight w:val="0"/>
      <w:marTop w:val="0"/>
      <w:marBottom w:val="0"/>
      <w:divBdr>
        <w:top w:val="none" w:sz="0" w:space="0" w:color="auto"/>
        <w:left w:val="none" w:sz="0" w:space="0" w:color="auto"/>
        <w:bottom w:val="none" w:sz="0" w:space="0" w:color="auto"/>
        <w:right w:val="none" w:sz="0" w:space="0" w:color="auto"/>
      </w:divBdr>
    </w:div>
    <w:div w:id="21359766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doc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27DA0-AF9E-4489-B601-9B7FDE148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945</Words>
  <Characters>5393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NHS ERY</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Jablonski</dc:creator>
  <cp:lastModifiedBy>Helen Askham (CCG)</cp:lastModifiedBy>
  <cp:revision>2</cp:revision>
  <cp:lastPrinted>2015-02-05T14:14:00Z</cp:lastPrinted>
  <dcterms:created xsi:type="dcterms:W3CDTF">2019-01-22T15:23:00Z</dcterms:created>
  <dcterms:modified xsi:type="dcterms:W3CDTF">2019-01-22T15:23:00Z</dcterms:modified>
</cp:coreProperties>
</file>